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1"/>
        <w:ind w:left="0" w:right="0" w:firstLine="0"/>
        <w:jc w:val="center"/>
        <w:spacing w:before="0" w:beforeAutospacing="0" w:after="201" w:afterAutospacing="0" w:line="368" w:lineRule="atLeast"/>
        <w:rPr>
          <w:color w:val="000000"/>
          <w:sz w:val="28"/>
          <w:szCs w:val="25"/>
        </w:rPr>
      </w:pPr>
      <w:r>
        <w:rPr>
          <w:color w:val="000000"/>
          <w:szCs w:val="25"/>
        </w:rPr>
        <w:t xml:space="preserve">1</w:t>
      </w:r>
      <w:r>
        <w:rPr>
          <w:color w:val="000000"/>
          <w:sz w:val="28"/>
          <w:szCs w:val="25"/>
        </w:rPr>
        <w:t xml:space="preserve">. Общие положения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  <w:szCs w:val="25"/>
        </w:rPr>
      </w:pPr>
      <w:r/>
      <w:bookmarkStart w:id="0" w:name="100004"/>
      <w:r/>
      <w:bookmarkEnd w:id="0"/>
      <w:r>
        <w:rPr>
          <w:color w:val="000000"/>
          <w:sz w:val="28"/>
          <w:szCs w:val="25"/>
        </w:rPr>
        <w:t xml:space="preserve">1.1. </w:t>
      </w:r>
      <w:r>
        <w:rPr>
          <w:color w:val="000000"/>
          <w:sz w:val="28"/>
          <w:szCs w:val="25"/>
        </w:rPr>
        <w:t xml:space="preserve">Настоящие Рекомендации разработаны в соответствии с Федеральным </w:t>
      </w:r>
      <w:hyperlink r:id="rId14" w:tooltip="https://legalacts.ru/doc/273_FZ-ob-obrazovanii/glava-6/statja-59/#100800" w:anchor="100800" w:history="1">
        <w:r>
          <w:rPr>
            <w:rStyle w:val="913"/>
            <w:color w:val="005ea5"/>
            <w:sz w:val="28"/>
            <w:szCs w:val="25"/>
          </w:rPr>
          <w:t xml:space="preserve">законом</w:t>
        </w:r>
      </w:hyperlink>
      <w:r>
        <w:rPr>
          <w:color w:val="000000"/>
          <w:sz w:val="28"/>
          <w:szCs w:val="25"/>
        </w:rPr>
        <w:t xml:space="preserve"> от 29 декабря 2012 г. N 273-ФЗ "Об образовании в Российской Федерации", </w:t>
      </w:r>
      <w:hyperlink r:id="rId15" w:tooltip="https://legalacts.ru/doc/prikaz-minobrnauki-rossii-ot-16082013-n-968/#100013" w:anchor="100013" w:history="1">
        <w:r>
          <w:rPr>
            <w:rStyle w:val="913"/>
            <w:color w:val="005ea5"/>
            <w:sz w:val="28"/>
            <w:szCs w:val="25"/>
          </w:rPr>
          <w:t xml:space="preserve">Порядком</w:t>
        </w:r>
      </w:hyperlink>
      <w:r>
        <w:rPr>
          <w:color w:val="000000"/>
          <w:sz w:val="28"/>
          <w:szCs w:val="25"/>
        </w:rPr>
        <w:t xml:space="preserve"> проведения государственной итоговой аттестации по образовательным программам среднего профессионального обра</w:t>
      </w:r>
      <w:r>
        <w:rPr>
          <w:color w:val="000000"/>
          <w:sz w:val="28"/>
          <w:szCs w:val="25"/>
        </w:rPr>
        <w:t xml:space="preserve">зования, утвержденным приказом Министерства образования и науки Российской Федерации от 16 августа 2013 г. N 968, федеральными государственными образовательными стандартами (далее - ФГОС) по программам среднего профессионального образования (далее - СПО) и</w:t>
      </w:r>
      <w:r>
        <w:rPr>
          <w:color w:val="000000"/>
          <w:sz w:val="28"/>
          <w:szCs w:val="25"/>
        </w:rPr>
        <w:t xml:space="preserve"> </w:t>
      </w:r>
      <w:hyperlink r:id="rId16" w:tooltip="https://legalacts.ru/doc/prikaz-minobrnauki-rossii-ot-14062013-n-464/#100092" w:anchor="100092" w:history="1">
        <w:r>
          <w:rPr>
            <w:rStyle w:val="913"/>
            <w:color w:val="005ea5"/>
            <w:sz w:val="28"/>
            <w:szCs w:val="25"/>
          </w:rPr>
          <w:t xml:space="preserve">Порядком</w:t>
        </w:r>
      </w:hyperlink>
      <w:r>
        <w:rPr>
          <w:color w:val="000000"/>
          <w:sz w:val="28"/>
          <w:szCs w:val="25"/>
        </w:rPr>
        <w:t xml:space="preserve"> организации и осуществления образовательной деятельности по образовательным программам среднего профессионального образования, 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  <w:szCs w:val="25"/>
        </w:rPr>
      </w:pPr>
      <w:r/>
      <w:bookmarkStart w:id="1" w:name="100005"/>
      <w:r/>
      <w:bookmarkEnd w:id="1"/>
      <w:r>
        <w:rPr>
          <w:color w:val="000000"/>
          <w:sz w:val="28"/>
          <w:szCs w:val="25"/>
        </w:rPr>
        <w:t xml:space="preserve">1.2. В соответств</w:t>
      </w:r>
      <w:r>
        <w:rPr>
          <w:color w:val="000000"/>
          <w:sz w:val="28"/>
          <w:szCs w:val="25"/>
        </w:rPr>
        <w:t xml:space="preserve">ии с требованиями ФГОС по программам СПО профессиональная образовательная организация, для оценки степени и уровня освоения обучающимся образовательных программ СПО должна обеспечивать процедуру проведения государственной итоговой аттестации (далее - ГИА).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  <w:szCs w:val="25"/>
        </w:rPr>
      </w:pPr>
      <w:r/>
      <w:bookmarkStart w:id="2" w:name="100006"/>
      <w:r/>
      <w:bookmarkEnd w:id="2"/>
      <w:r>
        <w:rPr>
          <w:color w:val="000000"/>
          <w:sz w:val="28"/>
          <w:szCs w:val="25"/>
        </w:rPr>
        <w:t xml:space="preserve">1.3. Рекомендации устанавливают требования к выбору тематики, организации и методическому сопровождению выполнения выпускной квалификационной работы в образовательных организациях, реализующих программы СПО.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  <w:szCs w:val="25"/>
        </w:rPr>
      </w:pPr>
      <w:r/>
      <w:bookmarkStart w:id="3" w:name="100007"/>
      <w:r/>
      <w:bookmarkEnd w:id="3"/>
      <w:r>
        <w:rPr>
          <w:color w:val="000000"/>
          <w:sz w:val="28"/>
          <w:szCs w:val="25"/>
        </w:rPr>
        <w:t xml:space="preserve">1.4. В соответствии с ФГОС СПО выпускная квалификационная работа (далее - ВКР) является обязательной частью ГИА. ГИА </w:t>
      </w:r>
      <w:r>
        <w:rPr>
          <w:color w:val="000000"/>
          <w:sz w:val="28"/>
          <w:szCs w:val="25"/>
        </w:rPr>
        <w:t xml:space="preserve">включает подготовку и защиту ВКР (дипломной работы, дипломного проекта). Согласно ФГОС в учебном плане на подготовку и защиту ВКР по специальностям отводится, как правило, шесть недель, из них на подготовку ВКР - четыре недели и на защиту ВКР - две недели.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  <w:szCs w:val="25"/>
        </w:rPr>
      </w:pPr>
      <w:r/>
      <w:bookmarkStart w:id="4" w:name="100008"/>
      <w:r/>
      <w:bookmarkEnd w:id="4"/>
      <w:r>
        <w:rPr>
          <w:color w:val="000000"/>
          <w:sz w:val="28"/>
          <w:szCs w:val="25"/>
        </w:rPr>
        <w:t xml:space="preserve">1.5. Цель защиты ВКР - установление соответствия результатов освоения студентами образовательных программ СПО, соответствующим требованиям ФГОС СПО.</w:t>
      </w:r>
      <w:r/>
    </w:p>
    <w:p>
      <w:pPr>
        <w:pStyle w:val="911"/>
        <w:ind w:firstLine="851"/>
        <w:jc w:val="both"/>
        <w:spacing w:before="0" w:beforeAutospacing="0" w:after="201" w:afterAutospacing="0" w:line="368" w:lineRule="atLeast"/>
        <w:rPr>
          <w:color w:val="000000"/>
          <w:sz w:val="28"/>
        </w:rPr>
      </w:pPr>
      <w:r>
        <w:rPr>
          <w:color w:val="000000"/>
          <w:sz w:val="28"/>
        </w:rPr>
      </w:r>
      <w:r/>
    </w:p>
    <w:p>
      <w:pPr>
        <w:pStyle w:val="911"/>
        <w:ind w:firstLine="851"/>
        <w:jc w:val="center"/>
        <w:spacing w:before="0" w:beforeAutospacing="0" w:after="201" w:afterAutospacing="0" w:line="368" w:lineRule="atLeast"/>
        <w:rPr>
          <w:color w:val="000000"/>
          <w:sz w:val="28"/>
        </w:rPr>
      </w:pPr>
      <w:r>
        <w:rPr>
          <w:color w:val="000000"/>
          <w:sz w:val="28"/>
        </w:rPr>
        <w:t xml:space="preserve">2. Определение темы выпускной квалификационной работы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5" w:name="100023"/>
      <w:r/>
      <w:bookmarkEnd w:id="5"/>
      <w:r>
        <w:rPr>
          <w:color w:val="000000"/>
          <w:sz w:val="28"/>
        </w:rPr>
        <w:t xml:space="preserve">2.1. Темы ВКР определяются образовательной организацией и должны отвечать современным требованиям развития высокотехнологичных отраслей </w:t>
      </w:r>
      <w:r>
        <w:rPr>
          <w:color w:val="000000"/>
          <w:sz w:val="28"/>
        </w:rPr>
        <w:t xml:space="preserve">науки, техники, производства, экономики, культуры и образования, иметь практико-ориентированный характер.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6" w:name="100024"/>
      <w:r/>
      <w:bookmarkEnd w:id="6"/>
      <w:r>
        <w:rPr>
          <w:color w:val="000000"/>
          <w:sz w:val="28"/>
        </w:rPr>
        <w:t xml:space="preserve">Обучающемуся</w:t>
      </w:r>
      <w:r>
        <w:rPr>
          <w:color w:val="000000"/>
          <w:sz w:val="28"/>
        </w:rPr>
        <w:t xml:space="preserve"> предоставляется право выбора темы ВКР, в том числе пред</w:t>
      </w:r>
      <w:r>
        <w:rPr>
          <w:color w:val="000000"/>
          <w:sz w:val="28"/>
        </w:rPr>
        <w:t xml:space="preserve">ложения своей тематики с необходимым обоснованием целесообразности ее разработки для практического применения. При этом тематика ВКР должна соответствовать содержанию одного или нескольких профессиональных модулей, входящих в образовательную программу СПО.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7" w:name="100025"/>
      <w:r/>
      <w:bookmarkEnd w:id="7"/>
      <w:r>
        <w:rPr>
          <w:color w:val="000000"/>
          <w:sz w:val="28"/>
        </w:rPr>
        <w:t xml:space="preserve">2.2. </w:t>
      </w:r>
      <w:r/>
      <w:r/>
      <w:bookmarkStart w:id="8" w:name="100026"/>
      <w:r/>
      <w:bookmarkEnd w:id="8"/>
      <w:r>
        <w:rPr>
          <w:color w:val="000000"/>
          <w:sz w:val="28"/>
        </w:rPr>
        <w:t xml:space="preserve">Для подготовки ВКР студенту назначается руководитель и, при необходимости, консультанты.</w:t>
      </w:r>
      <w:r/>
      <w:r>
        <w:rPr>
          <w:color w:val="000000"/>
          <w:sz w:val="28"/>
        </w:rPr>
      </w:r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9" w:name="100027"/>
      <w:r/>
      <w:bookmarkEnd w:id="9"/>
      <w:r/>
      <w:bookmarkStart w:id="10" w:name="100028"/>
      <w:r/>
      <w:bookmarkEnd w:id="10"/>
      <w:r>
        <w:rPr>
          <w:color w:val="000000"/>
          <w:sz w:val="28"/>
        </w:rPr>
        <w:t xml:space="preserve">2.4. ВКР должна иметь актуальность, новизну и практическую значимость и выполняться, по возможности, по предложениям (заказам) предприятий, организаций, инновационных компаний, высокотехнологичных производств или образовательных организаций.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11" w:name="100029"/>
      <w:r/>
      <w:bookmarkEnd w:id="11"/>
      <w:r>
        <w:rPr>
          <w:color w:val="000000"/>
          <w:sz w:val="28"/>
        </w:rPr>
        <w:t xml:space="preserve">Выполненная выпускная квалификационная работа в целом должна: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12" w:name="100030"/>
      <w:r/>
      <w:bookmarkEnd w:id="12"/>
      <w:r>
        <w:rPr>
          <w:color w:val="000000"/>
          <w:sz w:val="28"/>
        </w:rPr>
        <w:t xml:space="preserve">- соответствовать разработанному заданию;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13" w:name="100031"/>
      <w:r/>
      <w:bookmarkEnd w:id="13"/>
      <w:r>
        <w:rPr>
          <w:color w:val="000000"/>
          <w:sz w:val="28"/>
        </w:rPr>
        <w:t xml:space="preserve">- включать анализ источников по теме с обобщениями и выводами, сопоставлениями и оценкой различных точек зрения;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14" w:name="100032"/>
      <w:r/>
      <w:bookmarkEnd w:id="14"/>
      <w:r>
        <w:rPr>
          <w:color w:val="000000"/>
          <w:sz w:val="28"/>
        </w:rPr>
        <w:t xml:space="preserve">- продемонстрировать требуемый уровень общенаучной и специальной подготовки выпускника, его способность и умение применять на практике освоенные знания, практические умения, общие и профессиональные компетенции в соответствии с ФГОС СПО.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15" w:name="100033"/>
      <w:r/>
      <w:bookmarkEnd w:id="15"/>
      <w:r>
        <w:rPr>
          <w:color w:val="000000"/>
          <w:sz w:val="28"/>
        </w:rPr>
        <w:t xml:space="preserve">2.5. ВКР выполняется выпускником с использованием собранных им лично материалов, в том числе в период прохождения преддипломной практики, а также работы над выполнением курсовой работы (проекта).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16" w:name="100034"/>
      <w:r/>
      <w:bookmarkEnd w:id="16"/>
      <w:r>
        <w:rPr>
          <w:color w:val="000000"/>
          <w:sz w:val="28"/>
        </w:rPr>
        <w:t xml:space="preserve">2.6. При определении темы ВКР следует учитывать, что ее содержание может основываться: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17" w:name="100035"/>
      <w:r/>
      <w:bookmarkEnd w:id="17"/>
      <w:r>
        <w:rPr>
          <w:color w:val="000000"/>
          <w:sz w:val="28"/>
        </w:rPr>
        <w:t xml:space="preserve">- на обобщении результатов выполненной ранее </w:t>
      </w:r>
      <w:r>
        <w:rPr>
          <w:color w:val="000000"/>
          <w:sz w:val="28"/>
        </w:rPr>
        <w:t xml:space="preserve">обучающимся</w:t>
      </w:r>
      <w:r>
        <w:rPr>
          <w:color w:val="000000"/>
          <w:sz w:val="28"/>
        </w:rPr>
        <w:t xml:space="preserve"> курсовой работы (проекта), если она выполнялась в рамках соответствующего профессионального модуля;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18" w:name="100036"/>
      <w:r/>
      <w:bookmarkEnd w:id="18"/>
      <w:r>
        <w:rPr>
          <w:color w:val="000000"/>
          <w:sz w:val="28"/>
        </w:rPr>
        <w:t xml:space="preserve">- на использовании результатов выполненных ранее практических заданий.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19" w:name="100037"/>
      <w:r/>
      <w:bookmarkEnd w:id="19"/>
      <w:r>
        <w:rPr>
          <w:color w:val="000000"/>
          <w:sz w:val="28"/>
        </w:rPr>
        <w:t xml:space="preserve">Выбор темы ВКР </w:t>
      </w:r>
      <w:r>
        <w:rPr>
          <w:color w:val="000000"/>
          <w:sz w:val="28"/>
        </w:rPr>
        <w:t xml:space="preserve">обучающимся</w:t>
      </w:r>
      <w:r>
        <w:rPr>
          <w:color w:val="000000"/>
          <w:sz w:val="28"/>
        </w:rPr>
        <w:t xml:space="preserve"> осуществляется до начала производственной практики (преддипломной), что обусловлено необходимостью сбора практического материала в период ее прохождения.</w:t>
      </w:r>
      <w:r/>
    </w:p>
    <w:p>
      <w:pPr>
        <w:pStyle w:val="911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20" w:name="100038"/>
      <w:r/>
      <w:bookmarkEnd w:id="20"/>
      <w:r>
        <w:rPr>
          <w:color w:val="000000"/>
          <w:sz w:val="28"/>
        </w:rPr>
        <w:t xml:space="preserve">3. Руководство выпускной квалификационной работой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21" w:name="100039"/>
      <w:r/>
      <w:bookmarkEnd w:id="21"/>
      <w:r>
        <w:rPr>
          <w:color w:val="000000"/>
          <w:sz w:val="28"/>
        </w:rPr>
        <w:t xml:space="preserve">3.1. Перечень тем выпускных квалификационных р</w:t>
      </w:r>
      <w:r>
        <w:rPr>
          <w:color w:val="000000"/>
          <w:sz w:val="28"/>
        </w:rPr>
        <w:t xml:space="preserve">абот, закрепление их за студентами, назначение руководителей и консультантов по отдельным частям ВКР (экономическая, графическая, исследовательская, экспериментальная, опытная и т.п. части) осуществляются распорядительным актом образовательной организации.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22" w:name="100040"/>
      <w:r/>
      <w:bookmarkEnd w:id="22"/>
      <w:r>
        <w:rPr>
          <w:color w:val="000000"/>
          <w:sz w:val="28"/>
        </w:rPr>
        <w:t xml:space="preserve">К каждому руководителю ВКР может быть одновременно прикреплено не более восьми выпускников.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23" w:name="100041"/>
      <w:r/>
      <w:bookmarkEnd w:id="23"/>
      <w:r>
        <w:rPr>
          <w:color w:val="000000"/>
          <w:sz w:val="28"/>
        </w:rPr>
        <w:t xml:space="preserve">3.2. В обязанности руководителя ВКР входят: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24" w:name="100042"/>
      <w:r/>
      <w:bookmarkEnd w:id="24"/>
      <w:r>
        <w:rPr>
          <w:color w:val="000000"/>
          <w:sz w:val="28"/>
        </w:rPr>
        <w:t xml:space="preserve">- разработка задания на подготовку ВКР;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25" w:name="100043"/>
      <w:r/>
      <w:bookmarkEnd w:id="25"/>
      <w:r>
        <w:rPr>
          <w:color w:val="000000"/>
          <w:sz w:val="28"/>
        </w:rPr>
        <w:t xml:space="preserve">- разработка совместно с </w:t>
      </w:r>
      <w:r>
        <w:rPr>
          <w:color w:val="000000"/>
          <w:sz w:val="28"/>
        </w:rPr>
        <w:t xml:space="preserve">обучающимися</w:t>
      </w:r>
      <w:r>
        <w:rPr>
          <w:color w:val="000000"/>
          <w:sz w:val="28"/>
        </w:rPr>
        <w:t xml:space="preserve"> плана ВКР;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26" w:name="100044"/>
      <w:r/>
      <w:bookmarkEnd w:id="26"/>
      <w:r>
        <w:rPr>
          <w:color w:val="000000"/>
          <w:sz w:val="28"/>
        </w:rPr>
        <w:t xml:space="preserve">- оказание помощи </w:t>
      </w:r>
      <w:r>
        <w:rPr>
          <w:color w:val="000000"/>
          <w:sz w:val="28"/>
        </w:rPr>
        <w:t xml:space="preserve">обучающемуся</w:t>
      </w:r>
      <w:r>
        <w:rPr>
          <w:color w:val="000000"/>
          <w:sz w:val="28"/>
        </w:rPr>
        <w:t xml:space="preserve"> в разработке индивидуального графика работы на весь период выполнения ВКР;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27" w:name="100045"/>
      <w:r/>
      <w:bookmarkEnd w:id="27"/>
      <w:r>
        <w:rPr>
          <w:color w:val="000000"/>
          <w:sz w:val="28"/>
        </w:rPr>
        <w:t xml:space="preserve">- консультирование обучающегося по вопросам содержания и последовательности выполнения ВКР;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28" w:name="100046"/>
      <w:r/>
      <w:bookmarkEnd w:id="28"/>
      <w:r>
        <w:rPr>
          <w:color w:val="000000"/>
          <w:sz w:val="28"/>
        </w:rPr>
        <w:t xml:space="preserve">- оказание помощи </w:t>
      </w:r>
      <w:r>
        <w:rPr>
          <w:color w:val="000000"/>
          <w:sz w:val="28"/>
        </w:rPr>
        <w:t xml:space="preserve">обучающемуся</w:t>
      </w:r>
      <w:r>
        <w:rPr>
          <w:color w:val="000000"/>
          <w:sz w:val="28"/>
        </w:rPr>
        <w:t xml:space="preserve"> в подборе необходимых источников;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29" w:name="100047"/>
      <w:r/>
      <w:bookmarkEnd w:id="29"/>
      <w:r>
        <w:rPr>
          <w:color w:val="000000"/>
          <w:sz w:val="28"/>
        </w:rPr>
        <w:t xml:space="preserve">- контроль хода выполнения ВКР в соответствии с установленным графиком в форме регулярного обсуждения руководителем и обучающимся хода работ;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30" w:name="100048"/>
      <w:r/>
      <w:bookmarkEnd w:id="30"/>
      <w:r>
        <w:rPr>
          <w:color w:val="000000"/>
          <w:sz w:val="28"/>
        </w:rPr>
        <w:t xml:space="preserve">- оказание помощи (консультирование обучающегося) в подготовке презентации и доклада для защиты ВКР;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31" w:name="100049"/>
      <w:r/>
      <w:bookmarkEnd w:id="31"/>
      <w:r>
        <w:rPr>
          <w:color w:val="000000"/>
          <w:sz w:val="28"/>
        </w:rPr>
        <w:t xml:space="preserve">- предоставление письменного отзыва на ВКР.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32" w:name="100050"/>
      <w:r/>
      <w:bookmarkEnd w:id="32"/>
      <w:r>
        <w:rPr>
          <w:color w:val="000000"/>
          <w:sz w:val="28"/>
        </w:rPr>
        <w:t xml:space="preserve">3.3. Задание для каждого обучающегося разрабатывается в соответствии с утвержденной темой.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33" w:name="100051"/>
      <w:r/>
      <w:bookmarkEnd w:id="33"/>
      <w:r>
        <w:rPr>
          <w:color w:val="000000"/>
          <w:sz w:val="28"/>
        </w:rPr>
        <w:t xml:space="preserve">Задание на ВКР рассматривается цикловыми комиссиями, подписывается руководителем ВКР и утверждается заместителем руководителя по направлению деятельности.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34" w:name="100052"/>
      <w:r/>
      <w:bookmarkEnd w:id="34"/>
      <w:r>
        <w:rPr>
          <w:color w:val="000000"/>
          <w:sz w:val="28"/>
        </w:rPr>
        <w:t xml:space="preserve">3.4. В отдельных случаях допускается выполнение ВКР группой обучающихся. При этом индивидуальные задания выдаются каждому обучающемуся.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35" w:name="100053"/>
      <w:r/>
      <w:bookmarkEnd w:id="35"/>
      <w:r>
        <w:rPr>
          <w:color w:val="000000"/>
          <w:sz w:val="28"/>
        </w:rPr>
        <w:t xml:space="preserve">3.5. Задание на ВКР выдается обучающемуся не </w:t>
      </w:r>
      <w:r>
        <w:rPr>
          <w:color w:val="000000"/>
          <w:sz w:val="28"/>
        </w:rPr>
        <w:t xml:space="preserve">позднее</w:t>
      </w:r>
      <w:r>
        <w:rPr>
          <w:color w:val="000000"/>
          <w:sz w:val="28"/>
        </w:rPr>
        <w:t xml:space="preserve"> чем за две недели до начала производственной практики (преддипломной).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36" w:name="100054"/>
      <w:r/>
      <w:bookmarkEnd w:id="36"/>
      <w:r>
        <w:rPr>
          <w:color w:val="000000"/>
          <w:sz w:val="28"/>
        </w:rPr>
        <w:t xml:space="preserve">3.6. По завершении обучающимся подготовки ВКР руководитель проверяет качество работы, подписывает ее и вместе с заданием и своим письменным отзывом передает заместителю руководителя по направлению деятельности.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37" w:name="100055"/>
      <w:r/>
      <w:bookmarkEnd w:id="37"/>
      <w:r>
        <w:rPr>
          <w:color w:val="000000"/>
          <w:sz w:val="28"/>
        </w:rPr>
        <w:t xml:space="preserve">3.7. В отзыве руководителя ВКР </w:t>
      </w:r>
      <w:r>
        <w:rPr>
          <w:color w:val="000000"/>
          <w:sz w:val="28"/>
        </w:rPr>
        <w:t xml:space="preserve">указываются характерные особенности работы, ее достоинства и недостатки, а также отношение обучающегося к выполнению ВКР, проявленные (не проявленные) им способности, оцениваются уровень освоения общих и профессиональных компетенций, знания, умения обучающ</w:t>
      </w:r>
      <w:r>
        <w:rPr>
          <w:color w:val="000000"/>
          <w:sz w:val="28"/>
        </w:rPr>
        <w:t xml:space="preserve">егося, продемонстрированные им при выполнении ВКР, а также степень самостоятельности обучающегося и его личный вклад в раскрытие проблем и разработку предложений по их решению. Заканчивается отзыв выводом о возможности (невозможности) допуска ВКР к защите.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38" w:name="100056"/>
      <w:r/>
      <w:bookmarkEnd w:id="38"/>
      <w:r>
        <w:rPr>
          <w:color w:val="000000"/>
          <w:sz w:val="28"/>
        </w:rPr>
        <w:t xml:space="preserve">3.8. В обязанности консультанта ВКР входят: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39" w:name="100057"/>
      <w:r/>
      <w:bookmarkEnd w:id="39"/>
      <w:r>
        <w:rPr>
          <w:color w:val="000000"/>
          <w:sz w:val="28"/>
        </w:rPr>
        <w:t xml:space="preserve">- руководство разработкой индивидуального плана подготовки и выполнения ВКР в части содержания консультируемого вопроса;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40" w:name="100058"/>
      <w:r/>
      <w:bookmarkEnd w:id="40"/>
      <w:r>
        <w:rPr>
          <w:color w:val="000000"/>
          <w:sz w:val="28"/>
        </w:rPr>
        <w:t xml:space="preserve">- оказание помощи </w:t>
      </w:r>
      <w:r>
        <w:rPr>
          <w:color w:val="000000"/>
          <w:sz w:val="28"/>
        </w:rPr>
        <w:t xml:space="preserve">обучающемуся</w:t>
      </w:r>
      <w:r>
        <w:rPr>
          <w:color w:val="000000"/>
          <w:sz w:val="28"/>
        </w:rPr>
        <w:t xml:space="preserve"> в подборе необходимой литературы в части содержания консультируемого вопроса;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41" w:name="100059"/>
      <w:r/>
      <w:bookmarkEnd w:id="41"/>
      <w:r>
        <w:rPr>
          <w:color w:val="000000"/>
          <w:sz w:val="28"/>
        </w:rPr>
        <w:t xml:space="preserve">- контроль хода выполнения ВКР в части содержания консультируемого вопроса.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42" w:name="100060"/>
      <w:r/>
      <w:bookmarkEnd w:id="42"/>
      <w:r>
        <w:rPr>
          <w:color w:val="000000"/>
          <w:sz w:val="28"/>
        </w:rPr>
        <w:t xml:space="preserve">Часы консультирования входят в общие часы руководства ВКР и определяются локальными актами образовательной организации самостоятельно.</w:t>
      </w:r>
      <w:r/>
    </w:p>
    <w:p>
      <w:pPr>
        <w:pStyle w:val="911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44" w:name="100062"/>
      <w:r/>
      <w:bookmarkEnd w:id="44"/>
      <w:r>
        <w:rPr>
          <w:color w:val="000000"/>
          <w:sz w:val="28"/>
        </w:rPr>
        <w:t xml:space="preserve">4. Структура и содержание выпускной квалификационной работы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45" w:name="100063"/>
      <w:r/>
      <w:bookmarkEnd w:id="45"/>
      <w:r>
        <w:rPr>
          <w:color w:val="000000"/>
          <w:sz w:val="28"/>
        </w:rPr>
        <w:t xml:space="preserve">4.1. Требования к содержанию, объему и структуре ВКР определяются образовательной организацией. Объем В</w:t>
      </w:r>
      <w:r>
        <w:rPr>
          <w:color w:val="000000"/>
          <w:sz w:val="28"/>
        </w:rPr>
        <w:t xml:space="preserve">КР определяется исходя из специфики специальности. При выполнении ВКР в форме опытных образцов изделий, продуктов и пр., а также при творческих работах количество листов расчетно-пояснительной записки должно быть уменьшено без снижения общего качества ВКР.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46" w:name="100064"/>
      <w:r/>
      <w:bookmarkEnd w:id="46"/>
      <w:r>
        <w:rPr>
          <w:color w:val="000000"/>
          <w:sz w:val="28"/>
        </w:rPr>
        <w:t xml:space="preserve">4.2. Требования к оформлению ВКР.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47" w:name="100065"/>
      <w:r/>
      <w:bookmarkEnd w:id="47"/>
      <w:r>
        <w:rPr>
          <w:color w:val="000000"/>
          <w:sz w:val="28"/>
        </w:rPr>
        <w:t xml:space="preserve">Решение о формате оформления ВКР приним</w:t>
      </w:r>
      <w:r>
        <w:rPr>
          <w:color w:val="000000"/>
          <w:sz w:val="28"/>
        </w:rPr>
        <w:t xml:space="preserve">ается в соответствии с принятыми в образовательной организации локальными нормативными документами. Например, в соответствии с Системой менеджмента качества, внедренной в образовательной организации, обеспечивающими управление действующими в ней проектами.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48" w:name="100066"/>
      <w:r/>
      <w:bookmarkEnd w:id="48"/>
      <w:r>
        <w:rPr>
          <w:color w:val="000000"/>
          <w:sz w:val="28"/>
        </w:rPr>
        <w:t xml:space="preserve">Обучающийся может применять для оформления документации ВКР автоматизированные системы проектирования и управления (САПР).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49" w:name="100067"/>
      <w:r/>
      <w:bookmarkEnd w:id="49"/>
      <w:r>
        <w:rPr>
          <w:color w:val="000000"/>
          <w:sz w:val="28"/>
        </w:rPr>
        <w:t xml:space="preserve">Требования к оформлению ВКР должны соответствовать требованиям ЕСТД и ЕСКД, </w:t>
      </w:r>
      <w:hyperlink r:id="rId17" w:tooltip="https://legalacts.ru/doc/gost-732-2001-mezhgosudarstvennyi-standart-sistema-standartov-po/" w:history="1">
        <w:r>
          <w:rPr>
            <w:rStyle w:val="913"/>
            <w:color w:val="005ea5"/>
            <w:sz w:val="28"/>
          </w:rPr>
          <w:t xml:space="preserve">ГОСТ 7.32-2001</w:t>
        </w:r>
      </w:hyperlink>
      <w:r>
        <w:rPr>
          <w:color w:val="000000"/>
          <w:sz w:val="28"/>
        </w:rPr>
        <w:t xml:space="preserve"> "Система стандартов по информации, библиотечному и издательскому делу "Отчет о науч</w:t>
      </w:r>
      <w:r>
        <w:rPr>
          <w:color w:val="000000"/>
          <w:sz w:val="28"/>
        </w:rPr>
        <w:t xml:space="preserve">но-исследовательской работе", ГОСТ 7.1-2003 "Библиографическая запись. Библиографическое описание", ГОСТ 7.82-2001 "Библиографическая запись. Библиографическое описание электронных ресурсов" и (или) другим нормативным документам (в т.ч. документам СМК). В </w:t>
      </w:r>
      <w:hyperlink r:id="rId18" w:tooltip="https://legalacts.ru/doc/metodicheskie-rekomendatsii-po-organizatsii-vypolnenija-i-zashchity-vypusknoi-kvalifikatsionnoi/#100122" w:anchor="100122" w:history="1">
        <w:r>
          <w:rPr>
            <w:rStyle w:val="913"/>
            <w:color w:val="005ea5"/>
            <w:sz w:val="28"/>
          </w:rPr>
          <w:t xml:space="preserve">приложении 2</w:t>
        </w:r>
      </w:hyperlink>
      <w:r>
        <w:rPr>
          <w:color w:val="000000"/>
          <w:sz w:val="28"/>
        </w:rPr>
        <w:t xml:space="preserve"> приводится пример рекомендуемых требований.</w:t>
      </w:r>
      <w:r/>
    </w:p>
    <w:p>
      <w:pPr>
        <w:pStyle w:val="911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50" w:name="100068"/>
      <w:r/>
      <w:bookmarkEnd w:id="50"/>
      <w:r>
        <w:rPr>
          <w:color w:val="000000"/>
          <w:sz w:val="28"/>
        </w:rPr>
        <w:t xml:space="preserve">5. Рецензирование выпускных квалификационных работ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51" w:name="100069"/>
      <w:r/>
      <w:bookmarkEnd w:id="51"/>
      <w:r>
        <w:rPr>
          <w:color w:val="000000"/>
          <w:sz w:val="28"/>
        </w:rPr>
        <w:t xml:space="preserve">5.1. ВКР подлежат обязательному рецензированию.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52" w:name="100070"/>
      <w:r/>
      <w:bookmarkEnd w:id="52"/>
      <w:r>
        <w:rPr>
          <w:color w:val="000000"/>
          <w:sz w:val="28"/>
        </w:rPr>
        <w:t xml:space="preserve">5.2. Внешнее рецензирование ВКР проводится с целью </w:t>
      </w:r>
      <w:r>
        <w:rPr>
          <w:color w:val="000000"/>
          <w:sz w:val="28"/>
        </w:rPr>
        <w:t xml:space="preserve">обеспечения объективности оценки труда выпускника</w:t>
      </w:r>
      <w:r>
        <w:rPr>
          <w:color w:val="000000"/>
          <w:sz w:val="28"/>
        </w:rPr>
        <w:t xml:space="preserve">. Выполненные квалификационные работы рецензируются специалистами по тематике ВКР из государственных органов власти, сферы труда и образования, научно-исследовательских институтов и др.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53" w:name="100071"/>
      <w:r/>
      <w:bookmarkEnd w:id="53"/>
      <w:r>
        <w:rPr>
          <w:color w:val="000000"/>
          <w:sz w:val="28"/>
        </w:rPr>
        <w:t xml:space="preserve">5.3. Рецензенты ВКР определяются не </w:t>
      </w:r>
      <w:r>
        <w:rPr>
          <w:color w:val="000000"/>
          <w:sz w:val="28"/>
        </w:rPr>
        <w:t xml:space="preserve">позднее</w:t>
      </w:r>
      <w:r>
        <w:rPr>
          <w:color w:val="000000"/>
          <w:sz w:val="28"/>
        </w:rPr>
        <w:t xml:space="preserve"> чем за месяц до защиты.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54" w:name="100072"/>
      <w:r/>
      <w:bookmarkEnd w:id="54"/>
      <w:r>
        <w:rPr>
          <w:color w:val="000000"/>
          <w:sz w:val="28"/>
        </w:rPr>
        <w:t xml:space="preserve">5.4. Рецензия должна включать:</w:t>
      </w:r>
      <w:r/>
    </w:p>
    <w:p>
      <w:pPr>
        <w:pStyle w:val="912"/>
        <w:numPr>
          <w:ilvl w:val="0"/>
          <w:numId w:val="28"/>
        </w:numPr>
        <w:ind w:left="0" w:firstLine="709"/>
        <w:jc w:val="both"/>
        <w:spacing w:before="0" w:beforeAutospacing="0" w:after="0" w:afterAutospacing="0" w:line="368" w:lineRule="atLeast"/>
        <w:tabs>
          <w:tab w:val="left" w:pos="1560" w:leader="none"/>
        </w:tabs>
        <w:rPr>
          <w:color w:val="000000"/>
          <w:sz w:val="28"/>
        </w:rPr>
      </w:pPr>
      <w:r/>
      <w:bookmarkStart w:id="55" w:name="100073"/>
      <w:r/>
      <w:bookmarkEnd w:id="55"/>
      <w:r>
        <w:rPr>
          <w:color w:val="000000"/>
          <w:sz w:val="28"/>
        </w:rPr>
        <w:t xml:space="preserve">заключение о соответствии ВКР заявленной теме и заданию на нее;</w:t>
      </w:r>
      <w:r/>
    </w:p>
    <w:p>
      <w:pPr>
        <w:pStyle w:val="912"/>
        <w:numPr>
          <w:ilvl w:val="0"/>
          <w:numId w:val="28"/>
        </w:numPr>
        <w:ind w:left="0" w:firstLine="709"/>
        <w:jc w:val="both"/>
        <w:spacing w:before="0" w:beforeAutospacing="0" w:after="0" w:afterAutospacing="0" w:line="368" w:lineRule="atLeast"/>
        <w:tabs>
          <w:tab w:val="left" w:pos="1560" w:leader="none"/>
        </w:tabs>
        <w:rPr>
          <w:color w:val="000000"/>
          <w:sz w:val="28"/>
        </w:rPr>
      </w:pPr>
      <w:r/>
      <w:bookmarkStart w:id="56" w:name="100074"/>
      <w:r/>
      <w:bookmarkEnd w:id="56"/>
      <w:r>
        <w:rPr>
          <w:color w:val="000000"/>
          <w:sz w:val="28"/>
        </w:rPr>
        <w:t xml:space="preserve">оценку качества выполнения каждого раздела ВКР;</w:t>
      </w:r>
      <w:r/>
    </w:p>
    <w:p>
      <w:pPr>
        <w:pStyle w:val="912"/>
        <w:numPr>
          <w:ilvl w:val="0"/>
          <w:numId w:val="28"/>
        </w:numPr>
        <w:ind w:left="0" w:firstLine="709"/>
        <w:jc w:val="both"/>
        <w:spacing w:before="0" w:beforeAutospacing="0" w:after="0" w:afterAutospacing="0" w:line="368" w:lineRule="atLeast"/>
        <w:tabs>
          <w:tab w:val="left" w:pos="1560" w:leader="none"/>
        </w:tabs>
        <w:rPr>
          <w:color w:val="000000"/>
          <w:sz w:val="28"/>
        </w:rPr>
      </w:pPr>
      <w:r/>
      <w:bookmarkStart w:id="57" w:name="100075"/>
      <w:r/>
      <w:bookmarkEnd w:id="57"/>
      <w:r>
        <w:rPr>
          <w:color w:val="000000"/>
          <w:sz w:val="28"/>
        </w:rPr>
        <w:t xml:space="preserve">оценку степени разработки поставленных вопросов и практической значимости работы;</w:t>
      </w:r>
      <w:r/>
    </w:p>
    <w:p>
      <w:pPr>
        <w:pStyle w:val="912"/>
        <w:numPr>
          <w:ilvl w:val="0"/>
          <w:numId w:val="28"/>
        </w:numPr>
        <w:ind w:left="0" w:firstLine="709"/>
        <w:jc w:val="both"/>
        <w:spacing w:before="0" w:beforeAutospacing="0" w:after="0" w:afterAutospacing="0" w:line="368" w:lineRule="atLeast"/>
        <w:tabs>
          <w:tab w:val="left" w:pos="1560" w:leader="none"/>
        </w:tabs>
        <w:rPr>
          <w:color w:val="000000"/>
          <w:sz w:val="28"/>
        </w:rPr>
      </w:pPr>
      <w:r/>
      <w:bookmarkStart w:id="58" w:name="100076"/>
      <w:r/>
      <w:bookmarkEnd w:id="58"/>
      <w:r>
        <w:rPr>
          <w:color w:val="000000"/>
          <w:sz w:val="28"/>
        </w:rPr>
        <w:t xml:space="preserve">общую оценку качества выполнения ВКР.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59" w:name="100077"/>
      <w:r/>
      <w:bookmarkEnd w:id="59"/>
      <w:r>
        <w:rPr>
          <w:color w:val="000000"/>
          <w:sz w:val="28"/>
        </w:rPr>
        <w:t xml:space="preserve">5.5. Содержание рецензии доводится до сведения обучающегося не </w:t>
      </w:r>
      <w:r>
        <w:rPr>
          <w:color w:val="000000"/>
          <w:sz w:val="28"/>
        </w:rPr>
        <w:t xml:space="preserve">позднее</w:t>
      </w:r>
      <w:r>
        <w:rPr>
          <w:color w:val="000000"/>
          <w:sz w:val="28"/>
        </w:rPr>
        <w:t xml:space="preserve"> чем за день до защиты работы.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60" w:name="100078"/>
      <w:r/>
      <w:bookmarkEnd w:id="60"/>
      <w:r>
        <w:rPr>
          <w:color w:val="000000"/>
          <w:sz w:val="28"/>
        </w:rPr>
        <w:t xml:space="preserve">5.6. Внесение изменений в ВКР после получения рецензии не допускается.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61" w:name="100079"/>
      <w:r/>
      <w:bookmarkEnd w:id="61"/>
      <w:r>
        <w:rPr>
          <w:color w:val="000000"/>
          <w:sz w:val="28"/>
        </w:rPr>
        <w:t xml:space="preserve">5.7. Образовательная организация после ознакомления с отзывом руководителя и рецензией решает вопрос о допуске обучающегося к защите и передает ВКР в ГЭК. Процедура передачи определяется локальным нормативным актом образовательной организации.</w:t>
      </w:r>
      <w:r/>
    </w:p>
    <w:p>
      <w:pPr>
        <w:pStyle w:val="911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62" w:name="100080"/>
      <w:r/>
      <w:bookmarkEnd w:id="62"/>
      <w:r>
        <w:rPr>
          <w:color w:val="000000"/>
          <w:sz w:val="28"/>
        </w:rPr>
        <w:t xml:space="preserve">6. Процедура защиты дипломной работы (проекта)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63" w:name="100081"/>
      <w:r/>
      <w:bookmarkEnd w:id="63"/>
      <w:r>
        <w:rPr>
          <w:color w:val="000000"/>
          <w:sz w:val="28"/>
        </w:rPr>
        <w:t xml:space="preserve">6.1. К защите ВКР допускаются лица, завершившие полный курс обучения по одной из ОПОП и успешно прошедшие все предшествующие аттестационные испытания, предусмотренные учебным планом.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64" w:name="100082"/>
      <w:r/>
      <w:bookmarkEnd w:id="64"/>
      <w:r>
        <w:rPr>
          <w:color w:val="000000"/>
          <w:sz w:val="28"/>
        </w:rPr>
        <w:t xml:space="preserve">Программа ГИА, требования к ВКР, а также критерии оценки знаний, утвержденные образовательной организацией, доводятся до сведения обучающихся не </w:t>
      </w:r>
      <w:r>
        <w:rPr>
          <w:color w:val="000000"/>
          <w:sz w:val="28"/>
        </w:rPr>
        <w:t xml:space="preserve">позднее</w:t>
      </w:r>
      <w:r>
        <w:rPr>
          <w:color w:val="000000"/>
          <w:sz w:val="28"/>
        </w:rPr>
        <w:t xml:space="preserve"> чем за шесть месяцев до начала ГИА.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65" w:name="100083"/>
      <w:r/>
      <w:bookmarkEnd w:id="65"/>
      <w:r>
        <w:rPr>
          <w:color w:val="000000"/>
          <w:sz w:val="28"/>
        </w:rPr>
        <w:t xml:space="preserve">6.2. Вопрос о допуске ВКР (проекта) к защите решается на заседании цикловой комиссии, готовность к защите определяется заместителем руководителя по направлению деятельности и оформляется приказом руководителя образовательной организации.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66" w:name="100084"/>
      <w:r/>
      <w:bookmarkEnd w:id="66"/>
      <w:r>
        <w:rPr>
          <w:color w:val="000000"/>
          <w:sz w:val="28"/>
        </w:rPr>
        <w:t xml:space="preserve">6.3. Образовательная организация имеет право проводить предварительную защиту выпускной квалификационной работы.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67" w:name="100085"/>
      <w:r/>
      <w:bookmarkEnd w:id="67"/>
      <w:r>
        <w:rPr>
          <w:color w:val="000000"/>
          <w:sz w:val="28"/>
        </w:rPr>
        <w:t xml:space="preserve">6.4. Защита производится на открытом заседании ГЭК с участием не менее двух третей ее состава. Решения ГЭК принимаются на</w:t>
      </w:r>
      <w:r>
        <w:rPr>
          <w:color w:val="000000"/>
          <w:sz w:val="28"/>
        </w:rPr>
        <w:t xml:space="preserve"> закрытых заседаниях простым большинством голосов членов комиссии, участвующих в заседании, при обязательном присутствии председателя комиссии ГЭК или его заместителя. При равном числе голосов голос председательствующего на заседании ГЭК является решающим.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68" w:name="100086"/>
      <w:r/>
      <w:bookmarkEnd w:id="68"/>
      <w:r>
        <w:rPr>
          <w:color w:val="000000"/>
          <w:sz w:val="28"/>
        </w:rPr>
        <w:t xml:space="preserve">6.5. Решение ГЭК оформляется протоколом, который </w:t>
      </w:r>
      <w:r>
        <w:rPr>
          <w:color w:val="000000"/>
          <w:sz w:val="28"/>
        </w:rPr>
        <w:t xml:space="preserve">подписывается председателем ГЭК (в случае отсутствия председателя - его заместителем) и секретарем ГЭК и хранится в архиве образовательной организации. В протоколе записываются: итоговая оценка ВКР, присуждение квалификации и особые мнения членов комиссии.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69" w:name="100087"/>
      <w:r/>
      <w:bookmarkEnd w:id="69"/>
      <w:r>
        <w:rPr>
          <w:color w:val="000000"/>
          <w:sz w:val="28"/>
        </w:rPr>
        <w:t xml:space="preserve">6.6. На защиту ВКР отводится до одного академического часа на одного обучающегося. Процедура защиты устанавливается председателем ГЭК по согласованию с членами ГЭК </w:t>
      </w:r>
      <w:r>
        <w:rPr>
          <w:color w:val="000000"/>
          <w:sz w:val="28"/>
        </w:rPr>
        <w:t xml:space="preserve">и, как правило, включает доклад обучающегося (не более 10 - 15 минут), чтение отзыва и рецензии, вопросы членов комиссии, ответы обучающегося. Может быть предусмотрено выступление руководителя ВКР, а также рецензента, если он присутствует на заседании ГЭК.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70" w:name="100088"/>
      <w:r/>
      <w:bookmarkEnd w:id="70"/>
      <w:r>
        <w:rPr>
          <w:color w:val="000000"/>
          <w:sz w:val="28"/>
        </w:rPr>
        <w:t xml:space="preserve">6.7. Во время доклада обучающийся использует подготовленный наглядный материал, иллюстрирующий основные положения ВКР.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71" w:name="100089"/>
      <w:r/>
      <w:bookmarkEnd w:id="71"/>
      <w:r>
        <w:rPr>
          <w:color w:val="000000"/>
          <w:sz w:val="28"/>
        </w:rPr>
        <w:t xml:space="preserve">6.8. При определении оценки по защите ВКР учитываются: качество устного доклада выпускника, свободное владение материалом ВКР, глубина и точность ответов на вопросы, отзыв руководителя и рецензия.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72" w:name="100090"/>
      <w:r/>
      <w:bookmarkEnd w:id="72"/>
      <w:r>
        <w:rPr>
          <w:color w:val="000000"/>
          <w:sz w:val="28"/>
        </w:rPr>
        <w:t xml:space="preserve">6.9. Результаты защиты В</w:t>
      </w:r>
      <w:r>
        <w:rPr>
          <w:color w:val="000000"/>
          <w:sz w:val="28"/>
        </w:rPr>
        <w:t xml:space="preserve">КР обсуждаются на закрытом заседании ГЭК и оцениваются простым большинством голосов членов ГЭК, участвующих в заседании, при обязательном присутствии председателя комиссии или его заместителя. При равном числе голосов мнение председателя является решающим.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73" w:name="100091"/>
      <w:r/>
      <w:bookmarkEnd w:id="73"/>
      <w:r>
        <w:rPr>
          <w:color w:val="000000"/>
          <w:sz w:val="28"/>
        </w:rPr>
        <w:t xml:space="preserve">6.10. Обучающиеся, не прошедшие ГИА или получившие на ГИА неудовлетворительные результаты, проходят ГИА не ранее чем через шесть месяцев после прохождения ГИА впервые.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74" w:name="100092"/>
      <w:r/>
      <w:bookmarkEnd w:id="74"/>
      <w:r>
        <w:rPr>
          <w:color w:val="000000"/>
          <w:sz w:val="28"/>
        </w:rPr>
        <w:t xml:space="preserve">6.11. Для прохождения ГИА лицо, не прошедшее ГИА по неуважительной причине или получившее на ГИА неудовлетворительную оц</w:t>
      </w:r>
      <w:r>
        <w:rPr>
          <w:color w:val="000000"/>
          <w:sz w:val="28"/>
        </w:rPr>
        <w:t xml:space="preserve">енку, восстанавливается в образовательной организации на период времени, установленный образовательной организацией самостоятельно, но не менее предусмотренного календарным учебным графиком для прохождения ГИА соответствующей образовательной программы СПО.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75" w:name="100093"/>
      <w:r/>
      <w:bookmarkEnd w:id="75"/>
      <w:r>
        <w:rPr>
          <w:color w:val="000000"/>
          <w:sz w:val="28"/>
        </w:rPr>
        <w:t xml:space="preserve">Повторное прохождение ГИА для </w:t>
      </w:r>
      <w:r>
        <w:rPr>
          <w:color w:val="000000"/>
          <w:sz w:val="28"/>
        </w:rPr>
        <w:t xml:space="preserve">одного лица назначается</w:t>
      </w:r>
      <w:r>
        <w:rPr>
          <w:color w:val="000000"/>
          <w:sz w:val="28"/>
        </w:rPr>
        <w:t xml:space="preserve"> образовательной организацией не более двух раз.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76" w:name="100094"/>
      <w:r/>
      <w:bookmarkEnd w:id="76"/>
      <w:r>
        <w:rPr>
          <w:color w:val="000000"/>
          <w:sz w:val="28"/>
        </w:rPr>
        <w:t xml:space="preserve">6.12. Результаты защиты ВКР определяются оценками "отлично", "хорошо", "удовлетворительно", "неудовлетворительно" и объявляются в тот же день после оформления в установленном порядке протокола заседания ГЭК.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77" w:name="100095"/>
      <w:r/>
      <w:bookmarkEnd w:id="77"/>
      <w:r>
        <w:rPr>
          <w:color w:val="000000"/>
          <w:sz w:val="28"/>
        </w:rPr>
        <w:t xml:space="preserve">6.13. Порядок проведения ГИА для выпускников из числа лиц с ограниченными возможностями здоровья регламентируется </w:t>
      </w:r>
      <w:hyperlink r:id="rId19" w:tooltip="https://legalacts.ru/doc/prikaz-minobrnauki-rossii-ot-16082013-n-968/#100060" w:anchor="100060" w:history="1">
        <w:r>
          <w:rPr>
            <w:rStyle w:val="913"/>
            <w:color w:val="005ea5"/>
            <w:sz w:val="28"/>
          </w:rPr>
          <w:t xml:space="preserve">разделом 5</w:t>
        </w:r>
      </w:hyperlink>
      <w:r>
        <w:rPr>
          <w:color w:val="000000"/>
          <w:sz w:val="28"/>
        </w:rPr>
        <w:t xml:space="preserve"> Порядка пров</w:t>
      </w:r>
      <w:r>
        <w:rPr>
          <w:color w:val="000000"/>
          <w:sz w:val="28"/>
        </w:rPr>
        <w:t xml:space="preserve">едения государственной итоговой аттестации по образовательным программам среднего профессионального образования и проводится с организацией с учетом особенностей психофизического развития, индивидуальных возможностей и состояния здоровья таких выпускников.</w:t>
      </w:r>
      <w:r/>
    </w:p>
    <w:p>
      <w:pPr>
        <w:pStyle w:val="911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78" w:name="100096"/>
      <w:r/>
      <w:bookmarkEnd w:id="78"/>
      <w:r>
        <w:rPr>
          <w:color w:val="000000"/>
          <w:sz w:val="28"/>
        </w:rPr>
        <w:t xml:space="preserve">7. Хранение выпускных квалификационных работ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79" w:name="100097"/>
      <w:r/>
      <w:bookmarkEnd w:id="79"/>
      <w:r>
        <w:rPr>
          <w:color w:val="000000"/>
          <w:sz w:val="28"/>
        </w:rPr>
        <w:t xml:space="preserve">7.1. Выполненные ВКР хранятся после их защиты в образовательной организации. Срок хранени</w:t>
      </w:r>
      <w:r>
        <w:rPr>
          <w:color w:val="000000"/>
          <w:sz w:val="28"/>
        </w:rPr>
        <w:t xml:space="preserve">я определяется в соответствии с Перечнем типовых управленческих документов, образующихся в деятельности организаций, с указанием сроков хранения &lt;1&gt;. Рекомендуемый срок хранения - в течение пяти лет после выпуска обучающихся из образовательной организации.</w:t>
      </w:r>
      <w:r/>
    </w:p>
    <w:p>
      <w:pPr>
        <w:ind w:firstLine="851"/>
        <w:jc w:val="both"/>
        <w:rPr>
          <w:rFonts w:ascii="Times New Roman" w:hAnsi="Times New Roman" w:eastAsia="Times New Roman" w:cs="Times New Roman"/>
          <w:color w:val="000000"/>
          <w:sz w:val="28"/>
          <w:szCs w:val="25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5"/>
        </w:rPr>
        <w:br w:type="page" w:clear="all"/>
      </w:r>
      <w:r/>
    </w:p>
    <w:p>
      <w:pPr>
        <w:pStyle w:val="911"/>
        <w:ind w:firstLine="851"/>
        <w:jc w:val="both"/>
        <w:spacing w:before="0" w:beforeAutospacing="0" w:after="201" w:afterAutospacing="0" w:line="368" w:lineRule="atLeast"/>
        <w:rPr>
          <w:b/>
          <w:color w:val="000000"/>
          <w:sz w:val="28"/>
          <w:szCs w:val="25"/>
        </w:rPr>
      </w:pPr>
      <w:r>
        <w:rPr>
          <w:b/>
          <w:color w:val="000000"/>
          <w:sz w:val="28"/>
          <w:szCs w:val="25"/>
        </w:rPr>
        <w:t xml:space="preserve">8 </w:t>
      </w:r>
      <w:r>
        <w:rPr>
          <w:b/>
          <w:color w:val="000000"/>
          <w:sz w:val="28"/>
          <w:szCs w:val="25"/>
        </w:rPr>
        <w:t xml:space="preserve">ТРЕБОВАНИЯ К ОФОРМЛЕНИЮ ВКР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80" w:name="100123"/>
      <w:r/>
      <w:bookmarkEnd w:id="80"/>
      <w:r>
        <w:rPr>
          <w:color w:val="000000"/>
          <w:sz w:val="28"/>
          <w:szCs w:val="25"/>
        </w:rPr>
        <w:t xml:space="preserve">1. </w:t>
      </w:r>
      <w:r>
        <w:rPr>
          <w:color w:val="000000"/>
          <w:sz w:val="28"/>
        </w:rPr>
        <w:t xml:space="preserve">Структура и содержание выпускной квалификационной работы определяются в зависимости от профиля специальности, требований профессиональных образовательных о</w:t>
      </w:r>
      <w:r>
        <w:rPr>
          <w:color w:val="000000"/>
          <w:sz w:val="28"/>
        </w:rPr>
        <w:t xml:space="preserve">рганизаций и, как правило, включают в себя: расчетно-пояснительную записку, состоящую из: титульного листа; содержания; введения; основной части; заключения; списка использованных источников; приложений (при необходимости, пример задания на ВКР приведен в </w:t>
      </w:r>
      <w:hyperlink r:id="rId20" w:tooltip="https://legalacts.ru/doc/metodicheskie-rekomendatsii-po-organizatsii-vypolnenija-i-zashchity-vypusknoi-kvalifikatsionnoi/#100147" w:anchor="100147" w:history="1">
        <w:r>
          <w:rPr>
            <w:color w:val="000000"/>
            <w:sz w:val="28"/>
          </w:rPr>
          <w:t xml:space="preserve">приложении 3</w:t>
        </w:r>
      </w:hyperlink>
      <w:r>
        <w:rPr>
          <w:color w:val="000000"/>
          <w:sz w:val="28"/>
        </w:rPr>
        <w:t xml:space="preserve">).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81" w:name="100124"/>
      <w:r/>
      <w:bookmarkEnd w:id="81"/>
      <w:r>
        <w:rPr>
          <w:color w:val="000000"/>
          <w:sz w:val="28"/>
        </w:rPr>
        <w:t xml:space="preserve">2. Во введении необходимо обосновать актуальность и практическую значимость выбранной темы, сформулировать цель и задачи, объект и предмет ВКР, круг рассматриваемых проблем. Объем введения должен быть в пределах 4 - 5 страниц.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82" w:name="100125"/>
      <w:r/>
      <w:bookmarkEnd w:id="82"/>
      <w:r>
        <w:rPr>
          <w:color w:val="000000"/>
          <w:sz w:val="28"/>
        </w:rPr>
        <w:t xml:space="preserve">3. Основная ча</w:t>
      </w:r>
      <w:r>
        <w:rPr>
          <w:color w:val="000000"/>
          <w:sz w:val="28"/>
        </w:rPr>
        <w:t xml:space="preserve">сть ВКР включает главы (параграфы, разделы) в соответствии с логической структурой изложения. Название главы не должно дублировать название темы, а название параграфов - название глав. Формулировки должны быть лаконичными и отражать суть главы (параграфа).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83" w:name="100126"/>
      <w:r/>
      <w:bookmarkEnd w:id="83"/>
      <w:r>
        <w:rPr>
          <w:color w:val="000000"/>
          <w:sz w:val="28"/>
        </w:rPr>
        <w:t xml:space="preserve">4. Основная часть ВКР должна содержать, как правило, две главы.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84" w:name="100127"/>
      <w:r/>
      <w:bookmarkEnd w:id="84"/>
      <w:r>
        <w:rPr>
          <w:color w:val="000000"/>
          <w:sz w:val="28"/>
        </w:rPr>
        <w:t xml:space="preserve">Пе</w:t>
      </w:r>
      <w:r>
        <w:rPr>
          <w:color w:val="000000"/>
          <w:sz w:val="28"/>
        </w:rPr>
        <w:t xml:space="preserve">рвая глава посвящается теоретическим аспектам изучаемого объекта и предмета ВКР. В ней содержится обзор используемых источников информации, нормативной базы по теме ВКР. В этой главе могут найти место статистические данные, построенные в таблицы и графики.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85" w:name="100128"/>
      <w:r/>
      <w:bookmarkEnd w:id="85"/>
      <w:r>
        <w:rPr>
          <w:color w:val="000000"/>
          <w:sz w:val="28"/>
        </w:rPr>
        <w:t xml:space="preserve">5. Вторая глава посвящается анализу практического материала, полученного во время производственной практики (преддипломной). В этой главе содержится: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86" w:name="100129"/>
      <w:r/>
      <w:bookmarkEnd w:id="86"/>
      <w:r>
        <w:rPr>
          <w:color w:val="000000"/>
          <w:sz w:val="28"/>
        </w:rPr>
        <w:t xml:space="preserve">- анализ конкретного материала по избранной теме;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87" w:name="100130"/>
      <w:r/>
      <w:bookmarkEnd w:id="87"/>
      <w:r>
        <w:rPr>
          <w:color w:val="000000"/>
          <w:sz w:val="28"/>
        </w:rPr>
        <w:t xml:space="preserve">- описание выявленных проблем и тенденций развития объекта и предмета изучения на основе анализа конкретного материала по избранной теме;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88" w:name="100131"/>
      <w:r/>
      <w:bookmarkEnd w:id="88"/>
      <w:r>
        <w:rPr>
          <w:color w:val="000000"/>
          <w:sz w:val="28"/>
        </w:rPr>
        <w:t xml:space="preserve">- описание способов решения выявленных проблем.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89" w:name="100132"/>
      <w:r/>
      <w:bookmarkEnd w:id="89"/>
      <w:r>
        <w:rPr>
          <w:color w:val="000000"/>
          <w:sz w:val="28"/>
        </w:rPr>
        <w:t xml:space="preserve">В ходе анализа могут использоваться аналитические таблицы, расчеты, формулы, схемы, диаграммы и графики.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90" w:name="100133"/>
      <w:r/>
      <w:bookmarkEnd w:id="90"/>
      <w:r>
        <w:rPr>
          <w:color w:val="000000"/>
          <w:sz w:val="28"/>
        </w:rPr>
        <w:t xml:space="preserve">6. Завер</w:t>
      </w:r>
      <w:r>
        <w:rPr>
          <w:color w:val="000000"/>
          <w:sz w:val="28"/>
        </w:rPr>
        <w:t xml:space="preserve">шающей частью ВКР является заключение, которое содержит выводы и предложения с их кратким обоснованием в соответствии с поставленной целью и за дачами, раскрывает значимость полученных результатов. Заключение не должно составлять более пяти страниц текста.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91" w:name="100134"/>
      <w:r/>
      <w:bookmarkEnd w:id="91"/>
      <w:r>
        <w:rPr>
          <w:color w:val="000000"/>
          <w:sz w:val="28"/>
        </w:rPr>
        <w:t xml:space="preserve">Заключение лежит в основе доклада студента на защите.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92" w:name="100135"/>
      <w:r/>
      <w:bookmarkEnd w:id="92"/>
      <w:r>
        <w:rPr>
          <w:color w:val="000000"/>
          <w:sz w:val="28"/>
        </w:rPr>
        <w:t xml:space="preserve">7. Список использованных источников отражает перечень источников, которые использовались при написании ВКР (не менее 20), составленный в следующем порядке: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/>
      <w:bookmarkStart w:id="93" w:name="100136"/>
      <w:r/>
      <w:bookmarkEnd w:id="93"/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федеральные законы (в очередности от последнего года принятия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предыдущим);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/>
      <w:bookmarkStart w:id="94" w:name="100137"/>
      <w:r/>
      <w:bookmarkEnd w:id="94"/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указы Президента Российской Федерации (в той же последовательности);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/>
      <w:bookmarkStart w:id="95" w:name="100138"/>
      <w:r/>
      <w:bookmarkEnd w:id="95"/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постановления Правительства Российской Федерации (в той же очередности);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/>
      <w:bookmarkStart w:id="96" w:name="100139"/>
      <w:r/>
      <w:bookmarkEnd w:id="96"/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иные нормативные правовые акты;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/>
      <w:bookmarkStart w:id="97" w:name="100140"/>
      <w:r/>
      <w:bookmarkEnd w:id="97"/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иные официальные материалы (резолюции-рекомендации международных организаций и конференций, официальные доклады, официальные отчеты и др.);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/>
      <w:bookmarkStart w:id="98" w:name="100141"/>
      <w:r/>
      <w:bookmarkEnd w:id="98"/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монографии, учебники, учебные пособия (в алфавитном порядке);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/>
      <w:bookmarkStart w:id="99" w:name="100142"/>
      <w:r/>
      <w:bookmarkEnd w:id="99"/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иностранная литература;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/>
      <w:bookmarkStart w:id="100" w:name="100143"/>
      <w:r/>
      <w:bookmarkEnd w:id="100"/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интернет-ресурсы.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101" w:name="100144"/>
      <w:r/>
      <w:bookmarkEnd w:id="101"/>
      <w:r>
        <w:rPr>
          <w:color w:val="000000"/>
          <w:sz w:val="28"/>
        </w:rPr>
        <w:t xml:space="preserve">8. </w:t>
      </w:r>
      <w:r>
        <w:rPr>
          <w:color w:val="000000"/>
          <w:sz w:val="28"/>
        </w:rPr>
        <w:t xml:space="preserve"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  <w:r/>
    </w:p>
    <w:p>
      <w:pPr>
        <w:pStyle w:val="912"/>
        <w:ind w:firstLine="851"/>
        <w:jc w:val="both"/>
        <w:spacing w:before="0" w:beforeAutospacing="0" w:after="0" w:afterAutospacing="0" w:line="368" w:lineRule="atLeast"/>
        <w:rPr>
          <w:color w:val="000000"/>
          <w:sz w:val="28"/>
        </w:rPr>
      </w:pPr>
      <w:r/>
      <w:bookmarkStart w:id="102" w:name="100145"/>
      <w:r/>
      <w:bookmarkEnd w:id="102"/>
      <w:r>
        <w:rPr>
          <w:color w:val="000000"/>
          <w:sz w:val="28"/>
        </w:rPr>
        <w:t xml:space="preserve">Объем ВКР должен составлять 30 - 50 страниц печатного текста (без приложений). Текст ВКР должен быть подготовлен с использованием компьютера в </w:t>
      </w:r>
      <w:r>
        <w:rPr>
          <w:color w:val="000000"/>
          <w:sz w:val="28"/>
        </w:rPr>
        <w:t xml:space="preserve">Word</w:t>
      </w:r>
      <w:r>
        <w:rPr>
          <w:color w:val="000000"/>
          <w:sz w:val="28"/>
        </w:rPr>
        <w:t xml:space="preserve">, распечатан на одной стороне белой бумаги формата А</w:t>
      </w:r>
      <w:r>
        <w:rPr>
          <w:color w:val="000000"/>
          <w:sz w:val="28"/>
        </w:rPr>
        <w:t xml:space="preserve">4</w:t>
      </w:r>
      <w:r>
        <w:rPr>
          <w:color w:val="000000"/>
          <w:sz w:val="28"/>
        </w:rPr>
        <w:t xml:space="preserve"> (210 </w:t>
      </w:r>
      <w:r>
        <w:rPr>
          <w:color w:val="000000"/>
          <w:sz w:val="28"/>
        </w:rPr>
        <w:t xml:space="preserve">x</w:t>
      </w:r>
      <w:r>
        <w:rPr>
          <w:color w:val="000000"/>
          <w:sz w:val="28"/>
        </w:rPr>
        <w:t xml:space="preserve"> 297 мм), если иное не предусмотрено спецификой.</w:t>
      </w:r>
      <w:r/>
    </w:p>
    <w:p>
      <w:pPr>
        <w:rPr>
          <w:rFonts w:ascii="Times New Roman" w:hAnsi="Times New Roman" w:eastAsia="Times New Roman" w:cs="Times New Roman"/>
          <w:color w:val="000000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0"/>
        </w:rPr>
        <w:br w:type="page" w:clear="all"/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lang w:eastAsia="ar-SA"/>
        </w:rPr>
        <w:t xml:space="preserve">9 ПОЯСНИТЕЛЬНАЯ ЗАПИСКА И ЧЕРТЕЖИ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/>
          <w:bCs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4"/>
          <w:lang w:eastAsia="ar-SA"/>
        </w:rPr>
        <w:t xml:space="preserve">9.1 Общие требования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7030a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7030a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851" w:leader="none"/>
        </w:tabs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Выпускная работа оформляется в соответствии с ГОСТ 2.105-95 «Общие требования к текстовым документам» и ГОСТ 2.106-95 «Текстовые документы».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ab/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851" w:leader="none"/>
        </w:tabs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Текстовые документы подразделяются на документы:</w:t>
      </w:r>
      <w:r/>
    </w:p>
    <w:p>
      <w:pPr>
        <w:pStyle w:val="927"/>
        <w:numPr>
          <w:ilvl w:val="0"/>
          <w:numId w:val="29"/>
        </w:numPr>
        <w:ind w:left="0" w:firstLine="709"/>
        <w:jc w:val="both"/>
        <w:spacing w:after="0" w:line="360" w:lineRule="auto"/>
        <w:shd w:val="clear" w:color="auto" w:fill="ffffff"/>
        <w:tabs>
          <w:tab w:val="left" w:pos="851" w:leader="none"/>
        </w:tabs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со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держащие в основном сплошной текст (технические условия, технические описания, паспорта, расчеты, пояснительные записки, инструкции и т. п.);</w:t>
      </w:r>
      <w:r/>
    </w:p>
    <w:p>
      <w:pPr>
        <w:pStyle w:val="927"/>
        <w:numPr>
          <w:ilvl w:val="0"/>
          <w:numId w:val="29"/>
        </w:numPr>
        <w:ind w:left="0" w:firstLine="709"/>
        <w:jc w:val="both"/>
        <w:spacing w:after="0" w:line="360" w:lineRule="auto"/>
        <w:shd w:val="clear" w:color="auto" w:fill="ffffff"/>
        <w:tabs>
          <w:tab w:val="left" w:pos="851" w:leader="none"/>
        </w:tabs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документы, содержащие текст, разбитый на графы (спецификации, ведомости, таблицы и т. п.).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851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Пояснительная записка выполняется на компьютере на стандартных листах писчей бумаги (формат 297х210 мм)  четким разборчивым  текстом  на одной стороне листа.</w:t>
      </w:r>
      <w:r/>
    </w:p>
    <w:p>
      <w:pPr>
        <w:pStyle w:val="926"/>
        <w:ind w:firstLine="709"/>
        <w:jc w:val="both"/>
        <w:spacing w:after="0" w:line="360" w:lineRule="auto"/>
        <w:shd w:val="clear" w:color="auto" w:fill="auto"/>
        <w:tabs>
          <w:tab w:val="left" w:pos="851" w:leader="none"/>
        </w:tabs>
        <w:rPr>
          <w:rFonts w:ascii="Times New Roman" w:hAnsi="Times New Roman" w:cs="Times New Roman"/>
          <w:sz w:val="28"/>
          <w:szCs w:val="24"/>
        </w:rPr>
      </w:pP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Цвет шрифта должен быть черным, размер шрифта  14 пт. Рекомендуемый тип шрифта для основного текста ВКР - 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  <w:lang w:val="en-US"/>
        </w:rPr>
        <w:t xml:space="preserve">Times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  <w:lang w:val="en-US"/>
        </w:rPr>
        <w:t xml:space="preserve">New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  <w:lang w:val="en-US"/>
        </w:rPr>
        <w:t xml:space="preserve">Roman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. Полужирный шрифт применяют только для заголовков разделов и подразделов, заголовков структурных элементов. Использование курсива допускается для обозначения объектов и написания терминов (например, 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  <w:lang w:val="en-US"/>
        </w:rPr>
        <w:t xml:space="preserve">in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  <w:lang w:val="en-US"/>
        </w:rPr>
        <w:t xml:space="preserve">vivo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, 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  <w:lang w:val="en-US"/>
        </w:rPr>
        <w:t xml:space="preserve">in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  <w:lang w:val="en-US"/>
        </w:rPr>
        <w:t xml:space="preserve">vitro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) и иных объектов и терминов на латыни.</w:t>
      </w:r>
      <w:r/>
    </w:p>
    <w:p>
      <w:pPr>
        <w:pStyle w:val="926"/>
        <w:ind w:firstLine="709"/>
        <w:jc w:val="both"/>
        <w:spacing w:after="0" w:line="360" w:lineRule="auto"/>
        <w:shd w:val="clear" w:color="auto" w:fill="auto"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8"/>
          <w:szCs w:val="24"/>
        </w:rPr>
      </w:pP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Для акцентирования внимания может применяться выделение текста с помощью шрифта иного начертания, чем шрифт основного текста, но того же кегля и гарнитуры. Разрешается для написания определенных терминов, формул, теорем применять шрифты разной гарнитуры.</w:t>
      </w:r>
      <w:r/>
    </w:p>
    <w:p>
      <w:pPr>
        <w:pStyle w:val="926"/>
        <w:ind w:firstLine="709"/>
        <w:jc w:val="both"/>
        <w:spacing w:after="0" w:line="360" w:lineRule="auto"/>
        <w:shd w:val="clear" w:color="auto" w:fill="auto"/>
        <w:tabs>
          <w:tab w:val="left" w:pos="709" w:leader="none"/>
          <w:tab w:val="left" w:pos="851" w:leader="none"/>
        </w:tabs>
        <w:rPr>
          <w:rFonts w:ascii="Times New Roman" w:hAnsi="Times New Roman" w:cs="Times New Roman"/>
          <w:sz w:val="28"/>
          <w:szCs w:val="24"/>
        </w:rPr>
      </w:pP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Текст ВКР следует печатать, соблюдая следующие размеры полей: левое - 30 мм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.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п</w:t>
      </w:r>
      <w:r>
        <w:rPr>
          <w:rStyle w:val="925"/>
          <w:rFonts w:ascii="Times New Roman" w:hAnsi="Times New Roman" w:cs="Times New Roman"/>
          <w:color w:val="000000"/>
          <w:sz w:val="28"/>
          <w:szCs w:val="24"/>
        </w:rPr>
        <w:t xml:space="preserve">равое -15 мм. верхнее и нижнее - 20 мм. Абзацный отступ должен быть одинаковым по всему тексту ВКР и равен 1,25 см.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t xml:space="preserve">6.2. Титульный лист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pStyle w:val="926"/>
        <w:ind w:firstLine="709"/>
        <w:jc w:val="both"/>
        <w:spacing w:after="0" w:line="360" w:lineRule="auto"/>
        <w:shd w:val="clear" w:color="auto" w:fill="auto"/>
        <w:tabs>
          <w:tab w:val="left" w:pos="709" w:leader="none"/>
          <w:tab w:val="left" w:pos="851" w:leader="none"/>
        </w:tabs>
        <w:rPr>
          <w:rStyle w:val="925"/>
          <w:rFonts w:ascii="Times New Roman" w:hAnsi="Times New Roman" w:cs="Times New Roman"/>
          <w:sz w:val="28"/>
          <w:szCs w:val="24"/>
        </w:rPr>
      </w:pPr>
      <w:r>
        <w:rPr>
          <w:rStyle w:val="925"/>
          <w:rFonts w:ascii="Times New Roman" w:hAnsi="Times New Roman" w:cs="Times New Roman"/>
          <w:sz w:val="28"/>
          <w:szCs w:val="24"/>
        </w:rPr>
        <w:t xml:space="preserve">Титульный лист выполняется  в компьютерном варианте. </w:t>
      </w:r>
      <w:r/>
    </w:p>
    <w:p>
      <w:pPr>
        <w:pStyle w:val="926"/>
        <w:ind w:firstLine="709"/>
        <w:jc w:val="both"/>
        <w:spacing w:after="0" w:line="360" w:lineRule="auto"/>
        <w:shd w:val="clear" w:color="auto" w:fill="auto"/>
        <w:tabs>
          <w:tab w:val="left" w:pos="709" w:leader="none"/>
          <w:tab w:val="left" w:pos="851" w:leader="none"/>
        </w:tabs>
        <w:rPr>
          <w:rStyle w:val="925"/>
          <w:rFonts w:ascii="Times New Roman" w:hAnsi="Times New Roman" w:cs="Times New Roman"/>
          <w:sz w:val="28"/>
          <w:szCs w:val="24"/>
        </w:rPr>
      </w:pPr>
      <w:r>
        <w:rPr>
          <w:rStyle w:val="925"/>
          <w:rFonts w:ascii="Times New Roman" w:hAnsi="Times New Roman" w:cs="Times New Roman"/>
          <w:sz w:val="28"/>
          <w:szCs w:val="24"/>
        </w:rPr>
        <w:t xml:space="preserve">Допускается применение бланков титульных листов, вы</w:t>
      </w:r>
      <w:r>
        <w:rPr>
          <w:rStyle w:val="925"/>
          <w:rFonts w:ascii="Times New Roman" w:hAnsi="Times New Roman" w:cs="Times New Roman"/>
          <w:sz w:val="28"/>
          <w:szCs w:val="24"/>
        </w:rPr>
        <w:t xml:space="preserve">даваемых институтом, с обязательным заполнением их чер</w:t>
      </w:r>
      <w:r>
        <w:rPr>
          <w:rStyle w:val="925"/>
          <w:rFonts w:ascii="Times New Roman" w:hAnsi="Times New Roman" w:cs="Times New Roman"/>
          <w:sz w:val="28"/>
          <w:szCs w:val="24"/>
        </w:rPr>
        <w:t xml:space="preserve">тежным шрифтом.</w:t>
      </w:r>
      <w:r/>
    </w:p>
    <w:p>
      <w:pPr>
        <w:pStyle w:val="926"/>
        <w:ind w:firstLine="709"/>
        <w:jc w:val="both"/>
        <w:spacing w:after="0" w:line="360" w:lineRule="auto"/>
        <w:shd w:val="clear" w:color="auto" w:fill="auto"/>
        <w:tabs>
          <w:tab w:val="left" w:pos="709" w:leader="none"/>
          <w:tab w:val="left" w:pos="851" w:leader="none"/>
        </w:tabs>
        <w:rPr>
          <w:rStyle w:val="925"/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</w:r>
      <w:r/>
    </w:p>
    <w:p>
      <w:pPr>
        <w:pStyle w:val="926"/>
        <w:ind w:firstLine="709"/>
        <w:jc w:val="both"/>
        <w:spacing w:after="0" w:line="360" w:lineRule="auto"/>
        <w:shd w:val="clear" w:color="auto" w:fill="auto"/>
        <w:tabs>
          <w:tab w:val="left" w:pos="709" w:leader="none"/>
          <w:tab w:val="left" w:pos="851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t xml:space="preserve">6.3. Построение пояснительной записки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Текст пояснительной записки при необходимости разде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ляют на главы и параграфы.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Главы должны иметь порядковые номера в пределах всей записки, обозначенные арабскими цифрами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Параграфы должны иметь порядковую нумерацию в пре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делах каждой главы. Номера глав состоят из номеров главы и параграфа, разделенных точкой, в конце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точка не ставится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Главы, как и параграфы, могут состоять из одного или нескольких пунктов.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Если документ не имеет подразделов, то нумерация пунк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тов в нем должна быть в пределах каждой главы, и номер  пункта должен состоять из номеров главы и пункта, разде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ленных точкой. В конце номера пункта также должна ставить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ся точка.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      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      Например: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iCs/>
          <w:caps/>
          <w:color w:val="000000"/>
          <w:sz w:val="28"/>
          <w:szCs w:val="24"/>
          <w:lang w:eastAsia="ar-SA"/>
        </w:rPr>
        <w:t xml:space="preserve">1 </w:t>
      </w:r>
      <w:r>
        <w:rPr>
          <w:rFonts w:ascii="Times New Roman" w:hAnsi="Times New Roman" w:eastAsia="Times New Roman" w:cs="Times New Roman"/>
          <w:b/>
          <w:iCs/>
          <w:caps/>
          <w:color w:val="000000"/>
          <w:sz w:val="28"/>
          <w:szCs w:val="24"/>
          <w:lang w:eastAsia="ar-SA"/>
        </w:rPr>
        <w:t xml:space="preserve">Природно-климатическая характеристика района проектирования (строительства)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iCs/>
          <w:color w:val="000000"/>
          <w:sz w:val="28"/>
          <w:szCs w:val="24"/>
          <w:lang w:eastAsia="ar-SA"/>
        </w:rPr>
        <w:t xml:space="preserve">1.1 </w:t>
      </w:r>
      <w:r>
        <w:rPr>
          <w:rFonts w:ascii="Times New Roman" w:hAnsi="Times New Roman" w:eastAsia="Times New Roman" w:cs="Times New Roman"/>
          <w:b/>
          <w:iCs/>
          <w:color w:val="000000"/>
          <w:sz w:val="28"/>
          <w:szCs w:val="24"/>
          <w:lang w:eastAsia="ar-SA"/>
        </w:rPr>
        <w:t xml:space="preserve">Климат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 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Если документ имеет параграфы, то нумерация пунктов должна быть в пределах параграфа, и номер пункта должен состоять из номеров главы, параграфа и пункта, разде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ленных точками.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Если глава или параграф  состоит из одного пункта, он также нумеруется.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Если текст документа подразделяется только на пункты, они нумеруются порядковыми номерами в пределах доку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мента.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Пункты при необходимости могут быть разбиты на под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пункты, которые должны иметь порядковую нумерацию в пре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делах каждого пункта. 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Содержание в тексте пункта или подпункта, перечисления требований обозначают арабскими цифрами со скобкой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,  например: 1); 2),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и т.д.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Каждый пункт, подпункт и перечисление записывают с абзаца.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Наименование глав и параграфов должны быть крат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кими. 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Наименования глав записывают в виде заголовков (симметрично тексту) прописными буквами, размер шрифта 14 мм, жирным шрифтом. Наименования параграфов записывают в виде заголовков (с абзаца) строч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ными буквами (кроме первой прописной), размер шрифта 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14 мм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также жирным шрифтом.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  <w:t xml:space="preserve">Переносы слов в заголовках не допускаются. Точку в кон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це заголовка не ставят. Если заголовок состоит из двух пред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ложений, их разделяют точкой. Расстояние между заголовком и текстом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15 мм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. Расстоя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ние между заголовками главы и параграфа 1 интервал.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Каждую главу начинать с нового листа (страницы).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Содержание пояснительной записки располагают на листе после задания на проектирование. В содержание включают номера и наименования глав и параграфов с указанием номеров листов (страниц).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  <w:t xml:space="preserve">Слово «</w:t>
      </w:r>
      <w:r>
        <w:rPr>
          <w:rFonts w:ascii="Times New Roman" w:hAnsi="Times New Roman" w:eastAsia="Times New Roman" w:cs="Times New Roman"/>
          <w:b/>
          <w:caps/>
          <w:color w:val="000000"/>
          <w:sz w:val="28"/>
          <w:szCs w:val="24"/>
          <w:lang w:eastAsia="ar-SA"/>
        </w:rPr>
        <w:t xml:space="preserve">Содержание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» записывают в виде заголовка (сим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метрично тексту). Наименования, вклю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ченные в содержание, записывают строчными буквами.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При использовании в работе литературных источников, из которых  взяты те или иные материалы, необходимо делать соответствующие  ссылки на номер соответствующего источника по размещенному в  конце работы списку использованной литературы.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Ссылки на источник даются не только при цитировании, но и при  свободном изложении теоретических или практических положений.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сылка на литературу по ГОСТ 7.1-2003 представляет собой  помещенный в квадратные скобки номер источника. Номер источника  определяют из списка использованной литературы и  в ряде случаев  указывают номер страницы источника, откуда взята цитата или данные.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Например: [13, с. 13–17].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Если приведена ссылка на литературу в целом или на ряд работ,  то номера страниц не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указываются. В конце пояснительной записки в  разделе «Список литературы» источники располагаются в алфавитном порядке.  Данный список может включать учебную литературу, периодические издания, нормативные и инструктивные материалы, возможности   интернета.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Иностранные источники даются отдельным списком по порядку букв латинского алфавита.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t xml:space="preserve">6.4 Изложение текста пояснительной записки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Полное наименование ВКР на титульном листе, на пер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вом листе после задания, на листах чертежей, специ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фикации на первый лист и при первом упоминании в тексте записки должно быть одинаковым.</w:t>
      </w:r>
      <w:r/>
    </w:p>
    <w:p>
      <w:pPr>
        <w:ind w:right="423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В последующем тексте на первом месте должно быть оп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ределение (имя прилагательное), а затем название (имя су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ществительное); при этом допускается употреблять сокращен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ное наименование.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Наименования, приводимые в тексте записки и на иллюст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рациях, должны быть одинаковыми.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Текст записки должен быть кратким, четким и однозначным. При изложении обязательных требований в тексте должны применяться слова «должен», «следует», «необходимо» и производные от них.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В записке должны применяться научно-технические тер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мины, обозначения и определения, установленные соответствующими стандартами, а при их отсутствии - общепринятые в научно-технической литературе.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В тексте пояснительной записки НЕ ДОПУСКАЕТСЯ:</w:t>
      </w:r>
      <w:r/>
    </w:p>
    <w:p>
      <w:pPr>
        <w:numPr>
          <w:ilvl w:val="0"/>
          <w:numId w:val="30"/>
        </w:numPr>
        <w:contextualSpacing/>
        <w:ind w:left="0"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применять для одного и того же понятия различные науч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но-технические термины, близкие по смыслу (синонимы), иностранные слова, термины при наличии равнозначных слов и терминов в русском языке;</w:t>
      </w:r>
      <w:r/>
    </w:p>
    <w:p>
      <w:pPr>
        <w:numPr>
          <w:ilvl w:val="0"/>
          <w:numId w:val="30"/>
        </w:numPr>
        <w:contextualSpacing/>
        <w:ind w:left="0"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сокращать обозначения единиц физических величин, если  они употребляются без цифр, за исключением единиц физи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ческих величин в заголовках и боковиках таблиц, в расшифров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ках буквенных обозначений, входящих в формулы;</w:t>
      </w:r>
      <w:r/>
    </w:p>
    <w:p>
      <w:pPr>
        <w:numPr>
          <w:ilvl w:val="0"/>
          <w:numId w:val="30"/>
        </w:numPr>
        <w:contextualSpacing/>
        <w:ind w:left="0"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применять сокращения слов, кроме установленных прави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лами русской орфографии, пунктуации, а также соответству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ющими государственными стандартами;</w:t>
      </w:r>
      <w:r/>
    </w:p>
    <w:p>
      <w:pPr>
        <w:numPr>
          <w:ilvl w:val="0"/>
          <w:numId w:val="30"/>
        </w:numPr>
        <w:contextualSpacing/>
        <w:ind w:left="0"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использовать в тексте математический знак минус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(—)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перед отрицательными значениями величин. Вместо матема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тического знака минус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(—)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следует писать слово «минус»;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употреблять математические знаки без цифр, например &lt;, &gt;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а также №  и  %;</w:t>
      </w:r>
      <w:r/>
    </w:p>
    <w:p>
      <w:pPr>
        <w:numPr>
          <w:ilvl w:val="0"/>
          <w:numId w:val="30"/>
        </w:numPr>
        <w:contextualSpacing/>
        <w:ind w:left="0"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 применять индексы стандартов (ГОСТ, ОСТ, РСТ, СТП,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СТ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СЭВ) без регистрационного номера.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Условные буквенные обозначения величин, а также услов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ные графические обозначения должны соответствовать уста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новленным государственным стандартам. В тексте записки перед обозначением параметра дают его пояснение.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Числовые значения величин в тексте должны указывать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ся с необходимой степенью точности, при этом в ряду величин выравнивание числа знаков после запятой не обязательно.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  <w:t xml:space="preserve">В тексте числа с размерностью следует писать цифрами, а без размерности словами.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  <w:t xml:space="preserve">Единица физической величины одного и того же парамет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ра в пределах всей записки должна быть постоянной. Если приводится ряд числовых значений, выраженных в одной и той же единице физической величины, то ее указывают толь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ко после последнего числового значения,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например: 1,5; 1,75;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2 см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.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br w:type="column"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t xml:space="preserve">6.5 Формулы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В формулах в качестве символов следует применять обоз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начения, установленные соответствующими Государственны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ми стандартами.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Значения символов и числовых коэффициентов, вход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ящих в формулу, должны быть приведены непосредственно под формулой. Значения каждого символа дают с новой строки в той последовательности, в какой они приведены в формуле. Первая строка расшифровки должна начинаться со слова «где» без двоеточия после него.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  <w:t xml:space="preserve">Все формулы, если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их более одной, нумеруют арабскими цифрами в пределах текста пояснительной  записки. Номер указывают с правой стороны листа на уровне формулы в круглых скобках сквозной нумерацией. Ссылки в тексте на номер формулы дают в скобках. Допускается нумерация фор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мул в пределах всего документа.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Например: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ab/>
        <w:t xml:space="preserve">Ширина  насыпи   поверху  определяется   по формуле (3):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4"/>
          <w:lang w:eastAsia="ar-SA"/>
        </w:rPr>
        <w:t xml:space="preserve">      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             В=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В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vertAlign w:val="subscript"/>
          <w:lang w:eastAsia="ar-SA"/>
        </w:rPr>
        <w:t xml:space="preserve">д.п.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+ 2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vertAlign w:val="subscript"/>
          <w:lang w:eastAsia="ar-SA"/>
        </w:rPr>
        <w:t xml:space="preserve">*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h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vertAlign w:val="subscript"/>
          <w:lang w:eastAsia="ar-SA"/>
        </w:rPr>
        <w:t xml:space="preserve">д.о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. Х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m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 ,   (м)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ab/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ab/>
        <w:t xml:space="preserve">                                         (3)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i/>
          <w:iCs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ab/>
        <w:t xml:space="preserve">где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6"/>
          <w:lang w:eastAsia="ar-SA"/>
        </w:rPr>
        <w:t xml:space="preserve">В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6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6"/>
          <w:vertAlign w:val="subscript"/>
          <w:lang w:eastAsia="ar-SA"/>
        </w:rPr>
        <w:t xml:space="preserve">д.п.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vertAlign w:val="subscript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 —  ширина  дорожного полотна (III  категория —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12 м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).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            В=12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vertAlign w:val="subscript"/>
          <w:lang w:eastAsia="ar-SA"/>
        </w:rPr>
        <w:t xml:space="preserve">.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+ 2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vertAlign w:val="subscript"/>
          <w:lang w:eastAsia="ar-SA"/>
        </w:rPr>
        <w:t xml:space="preserve">* </w:t>
      </w:r>
      <w:r>
        <w:rPr>
          <w:rFonts w:ascii="Times New Roman" w:hAnsi="Times New Roman" w:eastAsia="Times New Roman" w:cs="Times New Roman"/>
          <w:bCs/>
          <w:i/>
          <w:iCs/>
          <w:color w:val="000000"/>
          <w:sz w:val="28"/>
          <w:szCs w:val="24"/>
          <w:lang w:eastAsia="ar-SA"/>
        </w:rPr>
        <w:t xml:space="preserve">1,95=15,90 м.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t xml:space="preserve">6.6 Примечания и иллюстрации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В примечаниях к тексту и таблицам указывают только справочные и поясняющие данные. Если имеется одно примечание, то его не нумеруют и пос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ле слова «Примечание» ставят точку. Если примечаний несколько, то после слова «Примечания» ставят двоеточие. Примечания нумеруют арабскими цифра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ми с точкой.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Количество иллюстраций должно быть достаточным для пояснения излагаемого текста. Иллюстрации могут быть расположены как по тексту документа (возможно  ближе к соответствующим частям текста), так и в конце его или даны в приложении. </w:t>
      </w:r>
      <w:r/>
    </w:p>
    <w:p>
      <w:pPr>
        <w:ind w:firstLine="709"/>
        <w:jc w:val="both"/>
        <w:spacing w:after="0" w:line="36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Номер иллюстрации состоит из и порядкового номера иллюстрации, 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Например: 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Рисунок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 1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 -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,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Рисунок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 2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 -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Ссылки на иллюстрации  и табличные данные дают по типу:  (рис. 1) или (табл. 2).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Ссылки на ранее упомянутые  пункты дают с сокращением слова (смотри). 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Например:  (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см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. п.3.2). 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142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Допускается нумерация иллюстраций в пределах всего докумен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та. Иллюстрации при необходимости могут иметь наименование поясняющие данные (подрисуночный текст). Наимено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вание помещают над иллюстрацией, поясняющие данные — под ней. Номер иллюстрации помещают ниже поясняющих данных.</w:t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t xml:space="preserve">6.7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t xml:space="preserve"> Приложения</w:t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Приложения оформляют как продолжение данного доку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мента на последующих его листах.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Каждое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приложение должно начинаться с нового    листа  (страницы) с указанием в правом верхнем углу первого листа слова «Приложение» прописными буквами и в технически обоснованных случаях иметь заголовок, который записывают  симметрично тексту прописными буквами.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При наличии в документе более одного приложения их нумеруют арабскими цифрами (без знака №),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например: Приложение 1, Приложение 2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и т. д.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Текст каждого приложения при необходимости разделяют на разделы, подразделы и пункты, нумеруемые отдельно по каждому приложению.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Нумерация листов документа и приложений, входящих в состав документа, должна быть сквозная.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Иллюстрации и таблицы в приложениях нумеруют в пре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делах каждого приложения.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t xml:space="preserve">6.8 Построение таблиц</w:t>
      </w:r>
      <w:r/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Цифровой материал, как правило, оформляют в виде таблиц.  Таблица может иметь заголовок, который следует выполнять строчными буквами (кроме первой прописной) и поме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щать над таблицей посередине. Заголовок должен быть крат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ким и полностью отражать содержание таблицы.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Заголовок  граф таблицы начинают с прописных букв, а подзаголовки - со строчных, если они составляют одно пред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ложение с заголовком.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Подзаголовки, если они имеют самостоятельное значение, пишут с прописной буквы.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В конце заголовков и подзаголов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ков таблиц знаки препинания не ставят. Заголовок указыва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ют в единственном числе. Нумерация  таблиц  сквозная.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Диагональное деление головки таблицы не допускается. Высота строк таблицы должна быть не менее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8 мм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. Если строки или графы таблицы выходят за формат листа, таблицу делят на части, которые, в зависимости от особен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ностей таблицы, переносят на другие листы или помещают на одном листе рядом или одну под другой.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При переносе части таблицы на другой лист заголовок помещают только над первой частью, а при переносе табли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цы на одном листе пишут,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например: «Продолжение табл.2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».  Если части таблицы помещают рядом, в каждой части пов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торяют головку, при размещении частей таблицы одна под другой повторяется боковик.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Слово «таблица», заголовок (при его наличии) и поряд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ковый номер таблицы указывают один раз над первой частью таблицы, над последующими частями пишут слово «Продол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жение» или,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например, «Продолжение табл.2»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если документ содержит две и более таблицы.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Графу «№ п.п.» в  таблицу не включают. При необходимости нумерации показателей, па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раметров или других данных порядковые номера указывают в боковике таблицы перед их наименованием. Для облегчения ссылок в тексте документа допускается нумерация граф.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  <w:t xml:space="preserve">Если цифровые дан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ные в графах таблицы выражены в различных единицах физических величин, то их указывают в заголовке каждой графы. Если все параметры, размещенные в таблице, выражены в одной  той же единице физической  величины, сокращенное обозначение ее помещают над табли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цей.</w:t>
      </w:r>
      <w:r/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4"/>
          <w:lang w:eastAsia="ar-SA"/>
        </w:rPr>
        <w:t xml:space="preserve">Например:</w:t>
      </w:r>
      <w:r/>
    </w:p>
    <w:p>
      <w:pPr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Таблица 2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Температура воздуха</w:t>
      </w:r>
      <w:r/>
    </w:p>
    <w:tbl>
      <w:tblPr>
        <w:tblW w:w="5000" w:type="pct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508"/>
        <w:gridCol w:w="653"/>
        <w:gridCol w:w="538"/>
        <w:gridCol w:w="712"/>
        <w:gridCol w:w="740"/>
        <w:gridCol w:w="712"/>
        <w:gridCol w:w="740"/>
        <w:gridCol w:w="725"/>
        <w:gridCol w:w="712"/>
        <w:gridCol w:w="642"/>
        <w:gridCol w:w="549"/>
        <w:gridCol w:w="549"/>
        <w:gridCol w:w="685"/>
      </w:tblGrid>
      <w:tr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79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Месяцы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4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I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8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II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7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III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IV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7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V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VI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8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VII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7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VIII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IX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X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XI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XII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79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Температура, </w:t>
            </w:r>
            <w:r>
              <w:rPr>
                <w:rFonts w:ascii="Times New Roman" w:hAnsi="Times New Roman" w:eastAsia="Times New Roman" w:cs="Times New Roman"/>
                <w:sz w:val="24"/>
                <w:vertAlign w:val="superscript"/>
                <w:lang w:eastAsia="ar-SA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С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4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-13,8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8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-13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7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-6,8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4,6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7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14,0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18,7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8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20,7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7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19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3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12,4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4,2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9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-4,1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4"/>
                <w:lang w:eastAsia="ar-SA"/>
              </w:rPr>
              <w:t xml:space="preserve">-10,7</w:t>
            </w:r>
            <w:r/>
          </w:p>
        </w:tc>
      </w:tr>
    </w:tbl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r>
      <w:r/>
    </w:p>
    <w:p>
      <w:pPr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Таблица 3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-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Повторяемость направлений и скорость ветра</w:t>
      </w:r>
      <w:r/>
    </w:p>
    <w:tbl>
      <w:tblPr>
        <w:tblW w:w="5000" w:type="pct"/>
        <w:jc w:val="center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2864"/>
        <w:gridCol w:w="897"/>
        <w:gridCol w:w="837"/>
        <w:gridCol w:w="867"/>
        <w:gridCol w:w="912"/>
        <w:gridCol w:w="882"/>
        <w:gridCol w:w="746"/>
        <w:gridCol w:w="761"/>
        <w:gridCol w:w="699"/>
      </w:tblGrid>
      <w:tr>
        <w:trPr>
          <w:jc w:val="center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51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Направления ветра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7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С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4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СВ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5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В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8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ЮВ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6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Ю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9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ЮЗ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0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З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СЗ</w:t>
            </w:r>
            <w:r/>
          </w:p>
        </w:tc>
      </w:tr>
      <w:tr>
        <w:trPr>
          <w:jc w:val="center"/>
        </w:trPr>
        <w:tc>
          <w:tcPr>
            <w:gridSpan w:val="9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0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Зима</w:t>
            </w:r>
            <w:r/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51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Количество дней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7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4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5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20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8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6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12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9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16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0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7</w:t>
            </w:r>
            <w:r/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51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Скорость ветра, м/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с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7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4,4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4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4,4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5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4,8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8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5,4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6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5,7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9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4,7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0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4,2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3,7</w:t>
            </w:r>
            <w:r/>
          </w:p>
        </w:tc>
      </w:tr>
      <w:tr>
        <w:trPr>
          <w:jc w:val="center"/>
        </w:trPr>
        <w:tc>
          <w:tcPr>
            <w:gridSpan w:val="9"/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0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Лето</w:t>
            </w:r>
            <w:r/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51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Количество дней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7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18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4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5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13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8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6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39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10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40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11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36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18</w:t>
            </w:r>
            <w:r/>
          </w:p>
        </w:tc>
      </w:tr>
      <w:tr>
        <w:trPr>
          <w:jc w:val="center"/>
        </w:trPr>
        <w:tc>
          <w:tcPr>
            <w:tcBorders>
              <w:top w:val="none" w:color="000000" w:sz="4" w:space="0"/>
              <w:left w:val="single" w:color="000000" w:sz="2" w:space="0"/>
              <w:bottom w:val="single" w:color="000000" w:sz="4" w:space="0"/>
              <w:right w:val="none" w:color="000000" w:sz="4" w:space="0"/>
            </w:tcBorders>
            <w:tcW w:w="1513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Скорость ветра, м/</w:t>
            </w: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с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4" w:space="0"/>
              <w:right w:val="none" w:color="000000" w:sz="4" w:space="0"/>
            </w:tcBorders>
            <w:tcW w:w="47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3,8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4" w:space="0"/>
              <w:right w:val="none" w:color="000000" w:sz="4" w:space="0"/>
            </w:tcBorders>
            <w:tcW w:w="44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4" w:space="0"/>
              <w:right w:val="none" w:color="000000" w:sz="4" w:space="0"/>
            </w:tcBorders>
            <w:tcW w:w="45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3,7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4" w:space="0"/>
              <w:right w:val="none" w:color="000000" w:sz="4" w:space="0"/>
            </w:tcBorders>
            <w:tcW w:w="48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3,3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4" w:space="0"/>
              <w:right w:val="none" w:color="000000" w:sz="4" w:space="0"/>
            </w:tcBorders>
            <w:tcW w:w="466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3,3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4" w:space="0"/>
              <w:right w:val="none" w:color="000000" w:sz="4" w:space="0"/>
            </w:tcBorders>
            <w:tcW w:w="394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3,6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4" w:space="0"/>
              <w:right w:val="none" w:color="000000" w:sz="4" w:space="0"/>
            </w:tcBorders>
            <w:tcW w:w="40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3,2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369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suppressLineNumbers/>
            </w:pPr>
            <w:r>
              <w:rPr>
                <w:rFonts w:ascii="Times New Roman" w:hAnsi="Times New Roman" w:eastAsia="Times New Roman" w:cs="Times New Roman"/>
                <w:sz w:val="28"/>
                <w:szCs w:val="24"/>
                <w:lang w:eastAsia="ar-SA"/>
              </w:rPr>
              <w:t xml:space="preserve">3,5</w:t>
            </w:r>
            <w:r/>
          </w:p>
        </w:tc>
      </w:tr>
    </w:tbl>
    <w:p>
      <w:pPr>
        <w:jc w:val="right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Когда в таблице помещены графы с параметрами, выра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женными преимущественно в одной единице физической ве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личины, но есть показатели с параметрами, выраженными в других единицах, над таблицей помещают надпись о преоб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ладающей единице измерения, а сведения о других единицах физических величин дают в заголовках соответствующих граф.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  <w:t xml:space="preserve">Если параметры одной графы имеют одинаковые значения в двух и более последующих строках, то допускается этот параметр вписывать в таблицу для этих строк только один раз.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Если все данные в строке приведены для одной физичес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кой величины, то единицу физической величины указывают в соответствующей строке боковика таблицы.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Слова «более», «не более», «менее», «не менее», «в преде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лах» следует помещать рядом с наименованием соответству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ющего параметра или показателя (после единицы физичес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кой величины) в боковике таблицы  или заго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ловке графы.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Повторяющийся в графе таблицы текст, состоящий из од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ного слова, допускается заменять кавычками, если строки в таблице не разделены линиями.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Если повторяющийся текст состоит из двух и более слов, то при первом повторении его заменяют словами «то же»,- а далее кавычками.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Ставить кавычки вместо повторяющихся цифр, марок, знаков, математических и химических символов не допуска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ется.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Если цифровых или иных данных в таблице не приводят, то в графе ставят прочерк.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Единицы измерения угловых величин (градусы, минуты, секунды) при отсутствии горизонтальных линий указывают только в первой строке таблицы. При наличии в таблице го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ризонтальных линий, разделяющих цифровые данные, едини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цы измерения угловых величин проставляют во всех строках.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Цифры в графах таблиц, как правило, располагают так, чтобы классы чисел во всей графе были точно один под дру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гим.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Числовые значения величин в одной графе должны иметь, как правило, одинаковое количество десятичных знаков с до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бавлением при необходимости нулей.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Дробные числа приводят в виде десятичных дробей, за ис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ключением размеров в дюймах, которые записывают по типу 1/2", 1/4", 1/8".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Для сокращения текста заголовков и подзаголовков граф отдельные понятия заменяют буквенными обозначениями, если они помещены в тексте или приведены на иллюстрациях,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например: Д - диаметр, Н - высота, L - длина.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Показатели с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одним и тем же буквенным обозначением группируют последовательно в порядке возрастания индексов,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например: L, L1, L2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и т. д.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При указании в таблицах последовательных интервалов значений величин, охватывающих все значения ряда, перед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ними пишут  «от», «св.» и «до», имея в виду  «до ... включительно» - в интервалах, охватывающих любые значения величин,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между величинами, следует ставить тире.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Интервалы значений величин в тексте записывают со словами «от» и «до», например: ... толщина слоя должна быть от 0,5 до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2 мм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или через тире,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например: «черт. 10—15»,     «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пп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. 7-12».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Пределы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размеров указывают от меньших к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большим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. Все таблицы, если их в тексте более одной, нумеруют  в пределах всего раздела арабскими цифрами.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Номер таблицы состоит из номера раздела и порядкового номера    таблицы,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разделенных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точкой. Допускается нумерация таблиц в преде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лах всего документа. При наличии заголовка надпись «таблица ...» пишут вы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ше заголовка. Если в документе всего одна таблица, то номер ей не при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сваивают и слово «таблица» не пишут. На все таблицы должны быть ссылки в тексте, при этом слово «таблица» в тексте пишут полностью, если таблица не имеет номера и сокращенно, если имеет номер,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например: (табл. 1).</w:t>
      </w:r>
      <w:r/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ff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4"/>
          <w:lang w:eastAsia="ar-SA"/>
        </w:rPr>
        <w:t xml:space="preserve">7 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4"/>
          <w:lang w:eastAsia="ar-SA"/>
        </w:rPr>
        <w:t xml:space="preserve">ОФОРМЛЕНИЕ ГРАФИЧЕСКОЙ ЧАСТИ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/>
          <w:bCs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4"/>
          <w:lang w:eastAsia="ar-SA"/>
        </w:rPr>
        <w:t xml:space="preserve">7.1</w:t>
      </w:r>
      <w:r>
        <w:rPr>
          <w:rFonts w:ascii="Times New Roman" w:hAnsi="Times New Roman" w:eastAsia="Times New Roman" w:cs="Times New Roman"/>
          <w:b/>
          <w:bCs/>
          <w:sz w:val="28"/>
          <w:szCs w:val="24"/>
          <w:lang w:eastAsia="ar-SA"/>
        </w:rPr>
        <w:t xml:space="preserve"> Оформление чертежей </w:t>
      </w:r>
      <w:r/>
    </w:p>
    <w:p>
      <w:pPr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  <w:t xml:space="preserve">Чертеж – это документ, содержащий изображения машин, сооружений, технических приспособлений и их деталей.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</w:r>
      <w:r/>
    </w:p>
    <w:p>
      <w:pPr>
        <w:ind w:firstLine="708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К графической  части ВКР относятся   чертежи,  схемы и эскизы, которые  выполняются  на  чертежной бумаги с определенным соотношением сторон листа, т. е. на листах определенных форматов.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 ГОСТ  устанавливает  пять форматов чертежей (табл.5).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Таблица 5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 -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Форматы   чертежей</w:t>
      </w:r>
      <w:r/>
    </w:p>
    <w:tbl>
      <w:tblPr>
        <w:tblW w:w="9356" w:type="dxa"/>
        <w:tblInd w:w="55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2977"/>
        <w:gridCol w:w="1134"/>
        <w:gridCol w:w="1276"/>
        <w:gridCol w:w="1383"/>
        <w:gridCol w:w="1168"/>
        <w:gridCol w:w="1418"/>
      </w:tblGrid>
      <w:tr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Обозначение формата  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 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   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  А3  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3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      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   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1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  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   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 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0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Размеры сторон формата,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мм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297 – 210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297 – 420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3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297 – 420 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none" w:color="000000" w:sz="4" w:space="0"/>
            </w:tcBorders>
            <w:tcW w:w="11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594 – 841</w:t>
            </w:r>
            <w:r/>
          </w:p>
        </w:tc>
        <w:tc>
          <w:tcPr>
            <w:tcBorders>
              <w:top w:val="non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ar-SA"/>
              </w:rPr>
              <w:t xml:space="preserve">1189 – 841</w:t>
            </w:r>
            <w:r/>
          </w:p>
        </w:tc>
      </w:tr>
    </w:tbl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При выполнении чертежа длинную сто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рону листа обычно располагают горизон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тально. Если размеры предмета по высоте  значительно больше остальных, то длинная сторона листа может быть размещена вертикально.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Чертежи оформляют рамкой, которую наносят внутри границ формата: сверху, справа и снизу — на расстоянии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5 мм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, слева — на расстоянии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20 мм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(для брошюровки чертежа).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Внутри рамки в правом нижнем углу помещается основная надпись. На листах формата А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основную надпись помещают вдоль короткой стороны листа. Рамку и графы основной надписи выполняют сплошной основной линией.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t xml:space="preserve">7.2.  Порядок выполнения чертежа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/>
          <w:bCs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Чертежи должны быть  оформлены  в   программных  комплексах «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val="en-US" w:eastAsia="ar-SA"/>
        </w:rPr>
        <w:t xml:space="preserve">AutoCAD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», «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val="en-US" w:eastAsia="ar-SA"/>
        </w:rPr>
        <w:t xml:space="preserve">CREDO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», «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val="en-US" w:eastAsia="ar-SA"/>
        </w:rPr>
        <w:t xml:space="preserve">INDORCAD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», и т.д.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Приступая к выполнению чертежа, следует предварительно установить: размеры листа бумаги (формат чертежа); масштаб; рас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положение изображений на листе; разме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щение надписей.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ab/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     Требования  к  оформлению чертежей  в  программных комплексах:</w:t>
      </w:r>
      <w:r/>
    </w:p>
    <w:p>
      <w:pPr>
        <w:numPr>
          <w:ilvl w:val="0"/>
          <w:numId w:val="19"/>
        </w:numPr>
        <w:contextualSpacing/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Название  чертежа  по  центру, размер шрифта: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 10 – если текст  «прописными» буквами,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  15 – если текст  буквами «как  в  предложении».</w:t>
      </w:r>
      <w:r/>
    </w:p>
    <w:p>
      <w:pPr>
        <w:numPr>
          <w:ilvl w:val="0"/>
          <w:numId w:val="19"/>
        </w:numPr>
        <w:contextualSpacing/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Заголовки – размер шрифта  - 6 (7).</w:t>
      </w:r>
      <w:r/>
    </w:p>
    <w:p>
      <w:pPr>
        <w:numPr>
          <w:ilvl w:val="0"/>
          <w:numId w:val="19"/>
        </w:numPr>
        <w:contextualSpacing/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Текстовая  часть  -  от 3   до 5.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Изображения на чертежах основного комплекта марки «Автомобильные дороги» выполняют линиями по ГОСТ 2.303.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При этом сплошной толстой основной линией показывают: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 плане - контуры кромок проезжей части проектируемых автомобильных дорог, контуры проектируемых зданий и сооружений, проектируемые инженерные сети,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уклоно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- указатели, проектные горизонтали, кратные 0,5 м (на застроенной территории);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 продольном профиле - проектную линию, линии ординат от точек сопряжения элементов проектной линии, элементы плана;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 поперечном профиле - проектные контуры дороги и водоотводных сооружений, линии ординат от точек их переломов;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 схеме расположения технических средств организации дорожного движения - линии разметки проезжей части, ограждения.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Сплошной тонкой линией показывают: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 плане -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контуры поперечного профиля, горизонтали фактической поверхности земли и проектные горизонтали, кроме кратных 0,5 м (на застроенной территории), контуры существующих зданий, сооружений, коммуникаций, дорог, строительную геодезическую и координатную сетки;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 продольном и поперечном профилях - линию фактической поверхности земли и линии ординат от точек ее переломов, границы слоев грунта;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 схеме расположения технических средств организации дорожного движения - линии бровки земляного полотна, проектируемые искусственные сооружения.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Толстой штриховой линией на плане показывают контуры проектируемых подземных сооружений.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Тонкой штриховой линией показывают: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 плане - границы типов дорожной одежды, границы откосов выемки; 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 продольном профиле - линию интерполированной поверхности земли на реконструируемых участках автомобильных дорог;</w:t>
      </w:r>
      <w:r/>
    </w:p>
    <w:p>
      <w:pPr>
        <w:pStyle w:val="927"/>
        <w:numPr>
          <w:ilvl w:val="0"/>
          <w:numId w:val="32"/>
        </w:numPr>
        <w:ind w:left="0"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 поперечном профиле - линию проектируемой поверхности дорожного покрытия.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Штрих тонкой пунктирной линией показывают ось проектируемой автомобильной дороги.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Пунктирной линией изображают границу откоса насыпи.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t xml:space="preserve">7.3.  Масштабы чертежей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4"/>
          <w:lang w:eastAsia="ar-SA"/>
        </w:rPr>
        <w:tab/>
        <w:t xml:space="preserve">Масштабом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называется отношение ли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нейных размеров изображенного на чер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теже предмета к его размерам в натуре. Масштаб может быть выражен дробью (числовой масштаб) или изображен графи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чески (линейный масштаб).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4"/>
          <w:lang w:eastAsia="ar-SA"/>
        </w:rPr>
        <w:tab/>
        <w:t xml:space="preserve">Числовой масштаб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обозначают дробью, которая показывает кратность увеличения или уменьшения размеров изображения на чертеже.  При выполнении чертежей в зависимости от их назначения, сложности форм предметов и сооружений, их размеров применяют сле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дующие числовые масштабы: 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Уменьшения   .    .    .  ..  .1:2;   1:2,5;   1:4;    1:5;    1:10;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                                        1:15; 1:20;    1:25;   1:40;  1:50;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                                        1:75;  1:100; 1:200;  1:400;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                                        1:500; 1:800: 1:1000; 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Увеличения     .    .    .    .2:1;   2,5:1; 41:   5:1;   10:1;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                                        20:1;    40:1;     0:1;    100:1;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Натуральная величина   1:1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При проектировании генеральных пла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нов крупных объектов применяют масшта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бы 1:2000; 1:5000; 1:10 000; 1:25 000; дорог  общего  пользования - 1:10 000; 1:25 000 (план трассы - 1:10000, 1:25000);  продольный  профиль: горизонтальный 1:5000, вертикальный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:500, для грунтов 1:50)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Если чертеж выполнен в одном мас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штабе, то его значения указывают в пред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назначенной для этого графе основной надписи чертежа (угловом штампе) по типу 1:1; 1:2; 1:100 и т. д.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 Если же какое-либо изображение на чертеже выполнено в масштабе, отличающемся от указанного в основной надписи, то под соответствую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щим наименованием изображения указыва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ют масштаб по типу М 1:1; М 1:2 и т. д.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4"/>
          <w:lang w:eastAsia="ar-SA"/>
        </w:rPr>
        <w:t xml:space="preserve">7.4. Обозначения условные графические в схемах, выполняемых применительно к тематике выпускных квалификационных работ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На схемах показывают в виде условных изображений конструкций, машин или обозначений составные части   изделия и связи между   ними.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Схемы выполняют без учета действительного пространственного расположения изделий, конструкций или частей изделия и без соблюдения масштаба. Взамен графических обозначений могут быть изображены прямоугольники с соответствующими пояснениями на поле схемы.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Условные графические обозначения грунтов, особенностей их залегания, консис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тенции и степени влажности, используемые на продольных и поперечных профилях авто</w:t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мобильных дорог, принимают по </w:t>
      </w:r>
      <w:hyperlink r:id="rId21" w:tooltip="СПДС. Условные графические обозначения в документации по инженерно-геологическим изысканиям " w:history="1">
        <w:r>
          <w:rPr>
            <w:rFonts w:ascii="Times New Roman" w:hAnsi="Times New Roman" w:eastAsia="Times New Roman" w:cs="Times New Roman"/>
            <w:sz w:val="28"/>
            <w:szCs w:val="20"/>
            <w:lang w:eastAsia="ru-RU"/>
          </w:rPr>
          <w:t xml:space="preserve">ГОСТ 21.302</w:t>
        </w:r>
      </w:hyperlink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 xml:space="preserve">. 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Условные графические обозначения элементов, грунтов (рис.3,4) выполняют линиями той же толщины, что и линии связи (от 0,2 до 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1,0 мм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). Оптимальная толщина 0,3—0,4 мм.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Если в условных графиче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ских обозначениях имеются утолщенные линии, то их выпол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няют толще линии связи в два раза.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Обозначения элементов изображают на схеме в положении (табл.7,8), в котором они приведены в соответствующих стандартах, или повернутыми на 90°. </w:t>
      </w:r>
      <w:r/>
    </w:p>
    <w:p>
      <w:pPr>
        <w:ind w:firstLine="709"/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Обозначения с буквенными или цифро</w:t>
      </w: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  <w:t xml:space="preserve">выми символами допускается изображать повернутыми против часовой стрелки только на угол 90° или 45°. </w:t>
      </w:r>
      <w:r/>
    </w:p>
    <w:p>
      <w:pPr>
        <w:jc w:val="both"/>
        <w:spacing w:after="0" w:line="36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Условные  обозначения, указанные (рис.4)   представлены  (табл.7).</w:t>
      </w:r>
      <w:r/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ar-SA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368834" cy="2690948"/>
                <wp:effectExtent l="0" t="0" r="3810" b="0"/>
                <wp:docPr id="8" name="Рисунок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5371028" cy="26920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422.7pt;height:211.9pt;mso-wrap-distance-left:0.0pt;mso-wrap-distance-top:0.0pt;mso-wrap-distance-right:0.0pt;mso-wrap-distance-bottom:0.0pt;" stroked="f">
                <v:path textboxrect="0,0,0,0"/>
                <v:imagedata r:id="rId22" o:title=""/>
              </v:shape>
            </w:pict>
          </mc:Fallback>
        </mc:AlternateContent>
      </w:r>
      <w:r/>
    </w:p>
    <w:p>
      <w:pPr>
        <w:ind w:left="113" w:right="113"/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ar-SA"/>
        </w:rPr>
      </w:r>
      <w:r/>
    </w:p>
    <w:p>
      <w:pPr>
        <w:ind w:left="113" w:right="113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Рис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унок 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   - </w:t>
      </w: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. Условные обозначения грунтов и горных пород на продольных профилях автомобильных дорог:</w:t>
      </w:r>
      <w:r/>
    </w:p>
    <w:p>
      <w:pPr>
        <w:ind w:left="113" w:right="113"/>
        <w:jc w:val="both"/>
        <w:spacing w:after="0" w:line="240" w:lineRule="auto"/>
        <w:rPr>
          <w:rFonts w:ascii="Times New Roman" w:hAnsi="Times New Roman" w:eastAsia="Times New Roman" w:cs="Times New Roman"/>
          <w:spacing w:val="-9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ar-SA"/>
        </w:rPr>
        <w:t xml:space="preserve">1 - супесь легкая; 2 - супесь пы</w:t>
      </w:r>
      <w:r>
        <w:rPr>
          <w:rFonts w:ascii="Times New Roman" w:hAnsi="Times New Roman" w:eastAsia="Times New Roman" w:cs="Times New Roman"/>
          <w:spacing w:val="-9"/>
          <w:sz w:val="24"/>
          <w:szCs w:val="24"/>
          <w:lang w:eastAsia="ar-SA"/>
        </w:rPr>
        <w:t xml:space="preserve">леватая;   3 - супесь тяжелая; 4 - суглинок легкий;  5 - суглинок легкий пылеватый; 6 - суглинок тяжелый;  7 - суглинок тяжелый пылеватый;   8 - глина </w:t>
      </w:r>
      <w:r>
        <w:rPr>
          <w:rFonts w:ascii="Times New Roman" w:hAnsi="Times New Roman" w:eastAsia="Times New Roman" w:cs="Times New Roman"/>
          <w:spacing w:val="-7"/>
          <w:sz w:val="24"/>
          <w:szCs w:val="24"/>
          <w:lang w:eastAsia="ar-SA"/>
        </w:rPr>
        <w:t xml:space="preserve">песчанистая; 9 - глина пылеватая; 10 - глина жирная; 11 - песок мелкий; 12 - песок пылеватый; 13 - плывун;   14 - суглинок тяжелый валунный;  15 -торф; 16 - торф разжиженный; 17 - сапропель;</w:t>
      </w:r>
      <w:r>
        <w:rPr>
          <w:rFonts w:ascii="Times New Roman" w:hAnsi="Times New Roman" w:eastAsia="Times New Roman" w:cs="Times New Roman"/>
          <w:spacing w:val="-7"/>
          <w:sz w:val="24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4"/>
          <w:szCs w:val="24"/>
          <w:lang w:eastAsia="ar-SA"/>
        </w:rPr>
        <w:t xml:space="preserve">18 - ил, иловатый грунт; 19 - насыпной грунт; 20 - гравий;  21 - галька;  22 - валуны; 23 - гранит; 24 -диабаз; 25 - сланец глинистый; 26 - известняк;  27 - мергель; 28 - известняк - ракушечник;   29 - песчаник (знак </w:t>
      </w:r>
      <w:r>
        <w:rPr>
          <w:rFonts w:ascii="Times New Roman" w:hAnsi="Times New Roman" w:eastAsia="Times New Roman" w:cs="Times New Roman"/>
          <w:i/>
          <w:iCs/>
          <w:spacing w:val="-7"/>
          <w:sz w:val="24"/>
          <w:szCs w:val="24"/>
          <w:lang w:eastAsia="ar-SA"/>
        </w:rPr>
        <w:t xml:space="preserve">кв</w:t>
      </w:r>
      <w:r>
        <w:rPr>
          <w:rFonts w:ascii="Times New Roman" w:hAnsi="Times New Roman" w:eastAsia="Times New Roman" w:cs="Times New Roman"/>
          <w:i/>
          <w:iCs/>
          <w:spacing w:val="-7"/>
          <w:sz w:val="24"/>
          <w:szCs w:val="24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4"/>
          <w:szCs w:val="24"/>
          <w:lang w:eastAsia="ar-SA"/>
        </w:rPr>
        <w:t xml:space="preserve">означает кварцевый,  </w:t>
      </w:r>
      <w:r>
        <w:rPr>
          <w:rFonts w:ascii="Times New Roman" w:hAnsi="Times New Roman" w:eastAsia="Times New Roman" w:cs="Times New Roman"/>
          <w:i/>
          <w:iCs/>
          <w:spacing w:val="-7"/>
          <w:sz w:val="24"/>
          <w:szCs w:val="24"/>
          <w:lang w:eastAsia="ar-SA"/>
        </w:rPr>
        <w:t xml:space="preserve">гл - </w:t>
      </w:r>
      <w:r>
        <w:rPr>
          <w:rFonts w:ascii="Times New Roman" w:hAnsi="Times New Roman" w:eastAsia="Times New Roman" w:cs="Times New Roman"/>
          <w:spacing w:val="-7"/>
          <w:sz w:val="24"/>
          <w:szCs w:val="24"/>
          <w:lang w:eastAsia="ar-SA"/>
        </w:rPr>
        <w:t xml:space="preserve">глинистый,  </w:t>
      </w:r>
      <w:r>
        <w:rPr>
          <w:rFonts w:ascii="Times New Roman" w:hAnsi="Times New Roman" w:eastAsia="Times New Roman" w:cs="Times New Roman"/>
          <w:i/>
          <w:iCs/>
          <w:spacing w:val="-9"/>
          <w:sz w:val="24"/>
          <w:szCs w:val="24"/>
          <w:lang w:eastAsia="ar-SA"/>
        </w:rPr>
        <w:t xml:space="preserve">изв</w:t>
      </w:r>
      <w:r>
        <w:rPr>
          <w:rFonts w:ascii="Times New Roman" w:hAnsi="Times New Roman" w:eastAsia="Times New Roman" w:cs="Times New Roman"/>
          <w:i/>
          <w:iCs/>
          <w:spacing w:val="-9"/>
          <w:sz w:val="24"/>
          <w:szCs w:val="24"/>
          <w:lang w:eastAsia="ar-SA"/>
        </w:rPr>
        <w:t xml:space="preserve"> - </w:t>
      </w:r>
      <w:r>
        <w:rPr>
          <w:rFonts w:ascii="Times New Roman" w:hAnsi="Times New Roman" w:eastAsia="Times New Roman" w:cs="Times New Roman"/>
          <w:spacing w:val="-9"/>
          <w:sz w:val="24"/>
          <w:szCs w:val="24"/>
          <w:lang w:eastAsia="ar-SA"/>
        </w:rPr>
        <w:t xml:space="preserve">известковый); </w:t>
      </w:r>
      <w:r/>
    </w:p>
    <w:p>
      <w:pPr>
        <w:ind w:left="113" w:right="113"/>
        <w:jc w:val="both"/>
        <w:spacing w:after="0" w:line="240" w:lineRule="auto"/>
        <w:rPr>
          <w:rFonts w:ascii="Times New Roman" w:hAnsi="Times New Roman" w:eastAsia="Times New Roman" w:cs="Times New Roman"/>
          <w:spacing w:val="-9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pacing w:val="-9"/>
          <w:sz w:val="24"/>
          <w:szCs w:val="24"/>
          <w:lang w:eastAsia="ar-SA"/>
        </w:rPr>
        <w:t xml:space="preserve">30 - </w:t>
      </w:r>
      <w:r>
        <w:rPr>
          <w:rFonts w:ascii="Times New Roman" w:hAnsi="Times New Roman" w:eastAsia="Times New Roman" w:cs="Times New Roman"/>
          <w:spacing w:val="-9"/>
          <w:sz w:val="24"/>
          <w:szCs w:val="24"/>
          <w:lang w:eastAsia="ar-SA"/>
        </w:rPr>
        <w:t xml:space="preserve">трещиноватость</w:t>
      </w:r>
      <w:r>
        <w:rPr>
          <w:rFonts w:ascii="Times New Roman" w:hAnsi="Times New Roman" w:eastAsia="Times New Roman" w:cs="Times New Roman"/>
          <w:spacing w:val="-9"/>
          <w:sz w:val="24"/>
          <w:szCs w:val="24"/>
          <w:lang w:eastAsia="ar-SA"/>
        </w:rPr>
        <w:t xml:space="preserve"> пород.</w:t>
      </w:r>
      <w:r/>
    </w:p>
    <w:p>
      <w:pPr>
        <w:ind w:right="113" w:firstLine="708"/>
        <w:jc w:val="both"/>
        <w:spacing w:after="0" w:line="240" w:lineRule="auto"/>
        <w:rPr>
          <w:rFonts w:ascii="Times New Roman" w:hAnsi="Times New Roman" w:eastAsia="Times New Roman" w:cs="Times New Roman"/>
          <w:spacing w:val="-9"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spacing w:val="-9"/>
          <w:sz w:val="24"/>
          <w:szCs w:val="24"/>
          <w:lang w:eastAsia="ar-SA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6401435" distR="6401435" simplePos="0" relativeHeight="251667456" behindDoc="0" locked="0" layoutInCell="1" allowOverlap="1">
                <wp:simplePos x="0" y="0"/>
                <wp:positionH relativeFrom="margin">
                  <wp:posOffset>130175</wp:posOffset>
                </wp:positionH>
                <wp:positionV relativeFrom="paragraph">
                  <wp:posOffset>-11430</wp:posOffset>
                </wp:positionV>
                <wp:extent cx="6218555" cy="8896985"/>
                <wp:effectExtent l="0" t="0" r="0" b="0"/>
                <wp:wrapSquare wrapText="bothSides"/>
                <wp:docPr id="9" name="Рисунок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3"/>
                        <a:stretch/>
                      </pic:blipFill>
                      <pic:spPr bwMode="auto">
                        <a:xfrm>
                          <a:off x="0" y="0"/>
                          <a:ext cx="6218555" cy="8896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position:absolute;z-index:251667456;o:allowoverlap:true;o:allowincell:true;mso-position-horizontal-relative:margin;margin-left:10.2pt;mso-position-horizontal:absolute;mso-position-vertical-relative:text;margin-top:-0.9pt;mso-position-vertical:absolute;width:489.6pt;height:700.5pt;mso-wrap-distance-left:504.0pt;mso-wrap-distance-top:0.0pt;mso-wrap-distance-right:504.0pt;mso-wrap-distance-bottom:0.0pt;" stroked="false">
                <v:path textboxrect="0,0,0,0"/>
                <w10:wrap type="square"/>
                <v:imagedata r:id="rId23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Рис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унок 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 4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 - </w:t>
      </w:r>
      <w:r>
        <w:rPr>
          <w:rFonts w:ascii="Times New Roman" w:hAnsi="Times New Roman" w:eastAsia="Times New Roman" w:cs="Times New Roman"/>
          <w:sz w:val="28"/>
          <w:szCs w:val="24"/>
          <w:lang w:eastAsia="ar-SA"/>
        </w:rPr>
        <w:t xml:space="preserve"> Основные условные обозначения на продольном профиле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lang w:eastAsia="ar-SA"/>
        </w:rPr>
      </w:pPr>
      <w:r>
        <w:rPr>
          <w:rFonts w:ascii="Times New Roman" w:hAnsi="Times New Roman" w:eastAsia="Times New Roman" w:cs="Times New Roman"/>
          <w:color w:val="000000"/>
          <w:lang w:eastAsia="ar-SA"/>
        </w:rPr>
      </w:r>
      <w:r/>
    </w:p>
    <w:sectPr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506030602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color w:val="000000"/>
        <w:sz w:val="24"/>
        <w:szCs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51653120" behindDoc="1" locked="0" layoutInCell="1" allowOverlap="1">
              <wp:simplePos x="0" y="0"/>
              <wp:positionH relativeFrom="page">
                <wp:posOffset>6706235</wp:posOffset>
              </wp:positionH>
              <wp:positionV relativeFrom="page">
                <wp:posOffset>9836785</wp:posOffset>
              </wp:positionV>
              <wp:extent cx="91440" cy="85725"/>
              <wp:effectExtent l="0" t="0" r="0" b="0"/>
              <wp:wrapNone/>
              <wp:docPr id="5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91440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21"/>
                            <w:spacing w:line="240" w:lineRule="auto"/>
                            <w:shd w:val="clear" w:color="auto" w:fill="auto"/>
                          </w:pPr>
                          <w:fldSimple w:instr="PAGE \* MERGEFORMAT">
                            <w:r>
                              <w:rPr>
                                <w:rStyle w:val="918"/>
                                <w:color w:val="000000"/>
                              </w:rPr>
                              <w:t xml:space="preserve">1</w:t>
                            </w:r>
                          </w:fldSimple>
                          <w:r>
                            <w:rPr>
                              <w:rStyle w:val="918"/>
                              <w:color w:val="000000"/>
                            </w:rPr>
                          </w:r>
                          <w:r/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4" o:spid="_x0000_s4" o:spt="202" type="#_x0000_t202" style="position:absolute;z-index:-251653120;o:allowoverlap:true;o:allowincell:true;mso-position-horizontal-relative:page;margin-left:528.0pt;mso-position-horizontal:absolute;mso-position-vertical-relative:page;margin-top:774.5pt;mso-position-vertical:absolute;width:7.2pt;height:6.8pt;mso-wrap-distance-left:5.0pt;mso-wrap-distance-top:0.0pt;mso-wrap-distance-right:5.0pt;mso-wrap-distance-bottom:0.0pt;visibility:visible;" filled="f" stroked="f">
              <v:textbox inset="0,0,0,0">
                <w:txbxContent>
                  <w:p>
                    <w:pPr>
                      <w:pStyle w:val="921"/>
                      <w:spacing w:line="240" w:lineRule="auto"/>
                      <w:shd w:val="clear" w:color="auto" w:fill="auto"/>
                    </w:pPr>
                    <w:fldSimple w:instr="PAGE \* MERGEFORMAT">
                      <w:r>
                        <w:rPr>
                          <w:rStyle w:val="918"/>
                          <w:color w:val="000000"/>
                        </w:rPr>
                        <w:t xml:space="preserve">1</w:t>
                      </w:r>
                    </w:fldSimple>
                    <w:r>
                      <w:rPr>
                        <w:rStyle w:val="918"/>
                        <w:color w:val="000000"/>
                      </w:rPr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color w:val="000000"/>
        <w:sz w:val="24"/>
        <w:szCs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5165414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ge">
                <wp:posOffset>9673590</wp:posOffset>
              </wp:positionV>
              <wp:extent cx="120015" cy="85725"/>
              <wp:effectExtent l="0" t="0" r="0" b="0"/>
              <wp:wrapNone/>
              <wp:docPr id="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2001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21"/>
                            <w:spacing w:line="240" w:lineRule="auto"/>
                            <w:shd w:val="clear" w:color="auto" w:fill="auto"/>
                          </w:pPr>
                          <w:fldSimple w:instr="PAGE \* MERGEFORMAT">
                            <w:r>
                              <w:rPr>
                                <w:rStyle w:val="918"/>
                                <w:color w:val="000000"/>
                              </w:rPr>
                              <w:t xml:space="preserve">1</w:t>
                            </w:r>
                          </w:fldSimple>
                          <w:r>
                            <w:rPr>
                              <w:rStyle w:val="918"/>
                              <w:color w:val="000000"/>
                            </w:rPr>
                          </w:r>
                          <w:r/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5" o:spt="202" type="#_x0000_t202" style="position:absolute;z-index:-251654144;o:allowoverlap:true;o:allowincell:true;mso-position-horizontal-relative:page;margin-left:70.7pt;mso-position-horizontal:absolute;mso-position-vertical-relative:page;margin-top:761.7pt;mso-position-vertical:absolute;width:9.4pt;height:6.8pt;mso-wrap-distance-left:5.0pt;mso-wrap-distance-top:0.0pt;mso-wrap-distance-right:5.0pt;mso-wrap-distance-bottom:0.0pt;visibility:visible;" filled="f" stroked="f">
              <v:textbox inset="0,0,0,0">
                <w:txbxContent>
                  <w:p>
                    <w:pPr>
                      <w:pStyle w:val="921"/>
                      <w:spacing w:line="240" w:lineRule="auto"/>
                      <w:shd w:val="clear" w:color="auto" w:fill="auto"/>
                    </w:pPr>
                    <w:fldSimple w:instr="PAGE \* MERGEFORMAT">
                      <w:r>
                        <w:rPr>
                          <w:rStyle w:val="918"/>
                          <w:color w:val="000000"/>
                        </w:rPr>
                        <w:t xml:space="preserve">1</w:t>
                      </w:r>
                    </w:fldSimple>
                    <w:r>
                      <w:rPr>
                        <w:rStyle w:val="918"/>
                        <w:color w:val="000000"/>
                      </w:rPr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color w:val="000000"/>
        <w:sz w:val="24"/>
        <w:szCs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51650048" behindDoc="1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9510395</wp:posOffset>
              </wp:positionV>
              <wp:extent cx="120015" cy="85725"/>
              <wp:effectExtent l="0" t="0" r="0" b="0"/>
              <wp:wrapNone/>
              <wp:docPr id="7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2001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21"/>
                            <w:spacing w:line="240" w:lineRule="auto"/>
                            <w:shd w:val="clear" w:color="auto" w:fill="auto"/>
                          </w:pPr>
                          <w:fldSimple w:instr="PAGE \* MERGEFORMAT">
                            <w:r>
                              <w:rPr>
                                <w:rStyle w:val="918"/>
                                <w:color w:val="000000"/>
                              </w:rPr>
                              <w:t xml:space="preserve">1</w:t>
                            </w:r>
                          </w:fldSimple>
                          <w:r>
                            <w:rPr>
                              <w:rStyle w:val="918"/>
                              <w:color w:val="000000"/>
                            </w:rPr>
                          </w:r>
                          <w:r/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6" o:spt="202" type="#_x0000_t202" style="position:absolute;z-index:-251650048;o:allowoverlap:true;o:allowincell:true;mso-position-horizontal-relative:page;margin-left:56.6pt;mso-position-horizontal:absolute;mso-position-vertical-relative:page;margin-top:748.8pt;mso-position-vertical:absolute;width:9.4pt;height:6.8pt;mso-wrap-distance-left:5.0pt;mso-wrap-distance-top:0.0pt;mso-wrap-distance-right:5.0pt;mso-wrap-distance-bottom:0.0pt;visibility:visible;" filled="f" stroked="f">
              <v:textbox inset="0,0,0,0">
                <w:txbxContent>
                  <w:p>
                    <w:pPr>
                      <w:pStyle w:val="921"/>
                      <w:spacing w:line="240" w:lineRule="auto"/>
                      <w:shd w:val="clear" w:color="auto" w:fill="auto"/>
                    </w:pPr>
                    <w:fldSimple w:instr="PAGE \* MERGEFORMAT">
                      <w:r>
                        <w:rPr>
                          <w:rStyle w:val="918"/>
                          <w:color w:val="000000"/>
                        </w:rPr>
                        <w:t xml:space="preserve">1</w:t>
                      </w:r>
                    </w:fldSimple>
                    <w:r>
                      <w:rPr>
                        <w:rStyle w:val="918"/>
                        <w:color w:val="000000"/>
                      </w:rPr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color w:val="000000"/>
        <w:sz w:val="24"/>
        <w:szCs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51656192" behindDoc="1" locked="0" layoutInCell="1" allowOverlap="1">
              <wp:simplePos x="0" y="0"/>
              <wp:positionH relativeFrom="page">
                <wp:posOffset>3561080</wp:posOffset>
              </wp:positionH>
              <wp:positionV relativeFrom="page">
                <wp:posOffset>1066800</wp:posOffset>
              </wp:positionV>
              <wp:extent cx="800100" cy="245745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800100" cy="245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21"/>
                            <w:spacing w:line="240" w:lineRule="auto"/>
                            <w:shd w:val="clear" w:color="auto" w:fill="auto"/>
                          </w:pPr>
                          <w:r>
                            <w:rPr>
                              <w:rStyle w:val="917"/>
                              <w:color w:val="000000"/>
                            </w:rPr>
                            <w:t xml:space="preserve">Приложение Г</w:t>
                          </w:r>
                          <w:r/>
                        </w:p>
                        <w:p>
                          <w:pPr>
                            <w:pStyle w:val="921"/>
                            <w:spacing w:line="240" w:lineRule="auto"/>
                            <w:shd w:val="clear" w:color="auto" w:fill="auto"/>
                          </w:pPr>
                          <w:r>
                            <w:rPr>
                              <w:rStyle w:val="917"/>
                              <w:color w:val="000000"/>
                            </w:rPr>
                            <w:t xml:space="preserve">(справочное)</w:t>
                          </w:r>
                          <w:r/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51656192;o:allowoverlap:true;o:allowincell:true;mso-position-horizontal-relative:page;margin-left:280.4pt;mso-position-horizontal:absolute;mso-position-vertical-relative:page;margin-top:84.0pt;mso-position-vertical:absolute;width:63.0pt;height:19.3pt;mso-wrap-distance-left:5.0pt;mso-wrap-distance-top:0.0pt;mso-wrap-distance-right:5.0pt;mso-wrap-distance-bottom:0.0pt;visibility:visible;" filled="f" stroked="f">
              <v:textbox inset="0,0,0,0">
                <w:txbxContent>
                  <w:p>
                    <w:pPr>
                      <w:pStyle w:val="921"/>
                      <w:spacing w:line="240" w:lineRule="auto"/>
                      <w:shd w:val="clear" w:color="auto" w:fill="auto"/>
                    </w:pPr>
                    <w:r>
                      <w:rPr>
                        <w:rStyle w:val="917"/>
                        <w:color w:val="000000"/>
                      </w:rPr>
                      <w:t xml:space="preserve">Приложение Г</w:t>
                    </w:r>
                    <w:r/>
                  </w:p>
                  <w:p>
                    <w:pPr>
                      <w:pStyle w:val="921"/>
                      <w:spacing w:line="240" w:lineRule="auto"/>
                      <w:shd w:val="clear" w:color="auto" w:fill="auto"/>
                    </w:pPr>
                    <w:r>
                      <w:rPr>
                        <w:rStyle w:val="917"/>
                        <w:color w:val="000000"/>
                      </w:rPr>
                      <w:t xml:space="preserve">(справочное)</w:t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color w:val="000000"/>
        <w:sz w:val="24"/>
        <w:szCs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51655168" behindDoc="1" locked="0" layoutInCell="1" allowOverlap="1">
              <wp:simplePos x="0" y="0"/>
              <wp:positionH relativeFrom="page">
                <wp:posOffset>903605</wp:posOffset>
              </wp:positionH>
              <wp:positionV relativeFrom="page">
                <wp:posOffset>712470</wp:posOffset>
              </wp:positionV>
              <wp:extent cx="1017270" cy="97155"/>
              <wp:effectExtent l="0" t="0" r="0" b="0"/>
              <wp:wrapNone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01727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21"/>
                            <w:spacing w:line="240" w:lineRule="auto"/>
                            <w:shd w:val="clear" w:color="auto" w:fill="auto"/>
                          </w:pPr>
                          <w:r>
                            <w:rPr>
                              <w:rStyle w:val="917"/>
                              <w:color w:val="000000"/>
                            </w:rPr>
                            <w:t xml:space="preserve">ГОСТ 7.32—2017</w:t>
                          </w:r>
                          <w:r/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-251655168;o:allowoverlap:true;o:allowincell:true;mso-position-horizontal-relative:page;margin-left:71.1pt;mso-position-horizontal:absolute;mso-position-vertical-relative:page;margin-top:56.1pt;mso-position-vertical:absolute;width:80.1pt;height:7.6pt;mso-wrap-distance-left:5.0pt;mso-wrap-distance-top:0.0pt;mso-wrap-distance-right:5.0pt;mso-wrap-distance-bottom:0.0pt;visibility:visible;" filled="f" stroked="f">
              <v:textbox inset="0,0,0,0">
                <w:txbxContent>
                  <w:p>
                    <w:pPr>
                      <w:pStyle w:val="921"/>
                      <w:spacing w:line="240" w:lineRule="auto"/>
                      <w:shd w:val="clear" w:color="auto" w:fill="auto"/>
                    </w:pPr>
                    <w:r>
                      <w:rPr>
                        <w:rStyle w:val="917"/>
                        <w:color w:val="000000"/>
                      </w:rPr>
                      <w:t xml:space="preserve">ГОСТ 7.32—2017</w:t>
                    </w:r>
                    <w:r/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color w:val="000000"/>
        <w:sz w:val="24"/>
        <w:szCs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51652096" behindDoc="1" locked="0" layoutInCell="1" allowOverlap="1">
              <wp:simplePos x="0" y="0"/>
              <wp:positionH relativeFrom="page">
                <wp:posOffset>3348355</wp:posOffset>
              </wp:positionH>
              <wp:positionV relativeFrom="page">
                <wp:posOffset>903605</wp:posOffset>
              </wp:positionV>
              <wp:extent cx="857250" cy="245745"/>
              <wp:effectExtent l="0" t="0" r="0" b="0"/>
              <wp:wrapNone/>
              <wp:docPr id="3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857250" cy="245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21"/>
                            <w:spacing w:line="240" w:lineRule="auto"/>
                            <w:shd w:val="clear" w:color="auto" w:fill="auto"/>
                          </w:pPr>
                          <w:r>
                            <w:rPr>
                              <w:rStyle w:val="917"/>
                              <w:color w:val="000000"/>
                            </w:rPr>
                            <w:t xml:space="preserve">Приложение</w:t>
                          </w:r>
                          <w:r>
                            <w:rPr>
                              <w:rStyle w:val="917"/>
                              <w:color w:val="000000"/>
                            </w:rPr>
                            <w:t xml:space="preserve"> В</w:t>
                          </w:r>
                          <w:r/>
                        </w:p>
                        <w:p>
                          <w:pPr>
                            <w:pStyle w:val="921"/>
                            <w:spacing w:line="240" w:lineRule="auto"/>
                            <w:shd w:val="clear" w:color="auto" w:fill="auto"/>
                          </w:pPr>
                          <w:r>
                            <w:rPr>
                              <w:rStyle w:val="917"/>
                              <w:color w:val="000000"/>
                            </w:rPr>
                            <w:t xml:space="preserve">(обязательное)</w:t>
                          </w:r>
                          <w:r/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-251652096;o:allowoverlap:true;o:allowincell:true;mso-position-horizontal-relative:page;margin-left:263.6pt;mso-position-horizontal:absolute;mso-position-vertical-relative:page;margin-top:71.1pt;mso-position-vertical:absolute;width:67.5pt;height:19.3pt;mso-wrap-distance-left:5.0pt;mso-wrap-distance-top:0.0pt;mso-wrap-distance-right:5.0pt;mso-wrap-distance-bottom:0.0pt;visibility:visible;" filled="f" stroked="f">
              <v:textbox inset="0,0,0,0">
                <w:txbxContent>
                  <w:p>
                    <w:pPr>
                      <w:pStyle w:val="921"/>
                      <w:spacing w:line="240" w:lineRule="auto"/>
                      <w:shd w:val="clear" w:color="auto" w:fill="auto"/>
                    </w:pPr>
                    <w:r>
                      <w:rPr>
                        <w:rStyle w:val="917"/>
                        <w:color w:val="000000"/>
                      </w:rPr>
                      <w:t xml:space="preserve">Приложение</w:t>
                    </w:r>
                    <w:r>
                      <w:rPr>
                        <w:rStyle w:val="917"/>
                        <w:color w:val="000000"/>
                      </w:rPr>
                      <w:t xml:space="preserve"> В</w:t>
                    </w:r>
                    <w:r/>
                  </w:p>
                  <w:p>
                    <w:pPr>
                      <w:pStyle w:val="921"/>
                      <w:spacing w:line="240" w:lineRule="auto"/>
                      <w:shd w:val="clear" w:color="auto" w:fill="auto"/>
                    </w:pPr>
                    <w:r>
                      <w:rPr>
                        <w:rStyle w:val="917"/>
                        <w:color w:val="000000"/>
                      </w:rPr>
                      <w:t xml:space="preserve">(обязательное)</w:t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color w:val="000000"/>
        <w:sz w:val="24"/>
        <w:szCs w:val="24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51651072" behindDoc="1" locked="0" layoutInCell="1" allowOverlap="1">
              <wp:simplePos x="0" y="0"/>
              <wp:positionH relativeFrom="page">
                <wp:posOffset>725170</wp:posOffset>
              </wp:positionH>
              <wp:positionV relativeFrom="page">
                <wp:posOffset>549275</wp:posOffset>
              </wp:positionV>
              <wp:extent cx="1017270" cy="97155"/>
              <wp:effectExtent l="0" t="0" r="0" b="0"/>
              <wp:wrapNone/>
              <wp:docPr id="4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01727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21"/>
                            <w:spacing w:line="240" w:lineRule="auto"/>
                            <w:shd w:val="clear" w:color="auto" w:fill="auto"/>
                          </w:pPr>
                          <w:r>
                            <w:rPr>
                              <w:rStyle w:val="917"/>
                              <w:color w:val="000000"/>
                            </w:rPr>
                            <w:t xml:space="preserve">ГОСТ 7.32—2017</w:t>
                          </w:r>
                          <w:r/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3" o:spt="202" type="#_x0000_t202" style="position:absolute;z-index:-251651072;o:allowoverlap:true;o:allowincell:true;mso-position-horizontal-relative:page;margin-left:57.1pt;mso-position-horizontal:absolute;mso-position-vertical-relative:page;margin-top:43.2pt;mso-position-vertical:absolute;width:80.1pt;height:7.6pt;mso-wrap-distance-left:5.0pt;mso-wrap-distance-top:0.0pt;mso-wrap-distance-right:5.0pt;mso-wrap-distance-bottom:0.0pt;visibility:visible;" filled="f" stroked="f">
              <v:textbox inset="0,0,0,0">
                <w:txbxContent>
                  <w:p>
                    <w:pPr>
                      <w:pStyle w:val="921"/>
                      <w:spacing w:line="240" w:lineRule="auto"/>
                      <w:shd w:val="clear" w:color="auto" w:fill="auto"/>
                    </w:pPr>
                    <w:r>
                      <w:rPr>
                        <w:rStyle w:val="917"/>
                        <w:color w:val="000000"/>
                      </w:rPr>
                      <w:t xml:space="preserve">ГОСТ 7.32—2017</w:t>
                    </w:r>
                    <w:r/>
                  </w:p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2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0"/>
        <w:position w:val="0"/>
        <w:sz w:val="24"/>
        <w:szCs w:val="24"/>
        <w:u w:val="none"/>
      </w:rPr>
    </w:lvl>
    <w:lvl w:ilvl="1">
      <w:start w:val="1"/>
      <w:numFmt w:val="decimal"/>
      <w:isLgl w:val="false"/>
      <w:suff w:val="tab"/>
      <w:lvlText w:val="%1.%2"/>
      <w:lvlJc w:val="left"/>
      <w:pPr/>
      <w:rPr>
        <w:rFonts w:hint="default" w:ascii="Times New Roman" w:hAnsi="Times New Roman" w:cs="Times New Roman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isLgl w:val="false"/>
      <w:suff w:val="tab"/>
      <w:lvlText w:val="%1.%2.%3"/>
      <w:lvlJc w:val="left"/>
      <w:pPr/>
      <w:rPr>
        <w:rFonts w:hint="default" w:ascii="Times New Roman" w:hAnsi="Times New Roman" w:cs="Times New Roman"/>
        <w:color w:val="000000"/>
        <w:spacing w:val="0"/>
        <w:position w:val="0"/>
        <w:sz w:val="24"/>
        <w:szCs w:val="24"/>
        <w:u w:val="none"/>
      </w:rPr>
    </w:lvl>
    <w:lvl w:ilvl="3">
      <w:start w:val="1"/>
      <w:numFmt w:val="decimal"/>
      <w:isLgl w:val="false"/>
      <w:suff w:val="tab"/>
      <w:lvlText w:val="%1.%2.%3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%1.%2.%3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%1.%2.%3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%1.%2.%3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%1.%2.%3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%1.%2.%3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3.%1"/>
      <w:lvlJc w:val="left"/>
      <w:pPr/>
      <w:rPr>
        <w:rFonts w:ascii="Arial" w:hAnsi="Arial" w:cs="Arial"/>
        <w:iCs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decimal"/>
      <w:isLgl w:val="false"/>
      <w:suff w:val="tab"/>
      <w:lvlText w:val="3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decimal"/>
      <w:isLgl w:val="false"/>
      <w:suff w:val="tab"/>
      <w:lvlText w:val="3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decimal"/>
      <w:isLgl w:val="false"/>
      <w:suff w:val="tab"/>
      <w:lvlText w:val="3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3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3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3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3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3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3.1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decimal"/>
      <w:isLgl w:val="false"/>
      <w:suff w:val="tab"/>
      <w:lvlText w:val="3.1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decimal"/>
      <w:isLgl w:val="false"/>
      <w:suff w:val="tab"/>
      <w:lvlText w:val="3.1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decimal"/>
      <w:isLgl w:val="false"/>
      <w:suff w:val="tab"/>
      <w:lvlText w:val="3.1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3.1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3.1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3.1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3.1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3.1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8.2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1">
      <w:start w:val="3"/>
      <w:numFmt w:val="decimal"/>
      <w:isLgl w:val="false"/>
      <w:suff w:val="tab"/>
      <w:lvlText w:val="8.2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2">
      <w:start w:val="3"/>
      <w:numFmt w:val="decimal"/>
      <w:isLgl w:val="false"/>
      <w:suff w:val="tab"/>
      <w:lvlText w:val="8.2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3">
      <w:start w:val="3"/>
      <w:numFmt w:val="decimal"/>
      <w:isLgl w:val="false"/>
      <w:suff w:val="tab"/>
      <w:lvlText w:val="8.2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4">
      <w:start w:val="3"/>
      <w:numFmt w:val="decimal"/>
      <w:isLgl w:val="false"/>
      <w:suff w:val="tab"/>
      <w:lvlText w:val="8.2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5">
      <w:start w:val="3"/>
      <w:numFmt w:val="decimal"/>
      <w:isLgl w:val="false"/>
      <w:suff w:val="tab"/>
      <w:lvlText w:val="8.2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6">
      <w:start w:val="3"/>
      <w:numFmt w:val="decimal"/>
      <w:isLgl w:val="false"/>
      <w:suff w:val="tab"/>
      <w:lvlText w:val="8.2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7">
      <w:start w:val="3"/>
      <w:numFmt w:val="decimal"/>
      <w:isLgl w:val="false"/>
      <w:suff w:val="tab"/>
      <w:lvlText w:val="8.2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8">
      <w:start w:val="3"/>
      <w:numFmt w:val="decimal"/>
      <w:isLgl w:val="false"/>
      <w:suff w:val="tab"/>
      <w:lvlText w:val="8.2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</w:abstractNum>
  <w:abstractNum w:abstractNumId="7">
    <w:multiLevelType w:val="hybridMultilevel"/>
    <w:lvl w:ilvl="0">
      <w:start w:val="4"/>
      <w:numFmt w:val="decimal"/>
      <w:isLgl w:val="false"/>
      <w:suff w:val="tab"/>
      <w:lvlText w:val="7.6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1">
      <w:start w:val="4"/>
      <w:numFmt w:val="decimal"/>
      <w:isLgl w:val="false"/>
      <w:suff w:val="tab"/>
      <w:lvlText w:val="7.6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2">
      <w:start w:val="4"/>
      <w:numFmt w:val="decimal"/>
      <w:isLgl w:val="false"/>
      <w:suff w:val="tab"/>
      <w:lvlText w:val="7.6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3">
      <w:start w:val="4"/>
      <w:numFmt w:val="decimal"/>
      <w:isLgl w:val="false"/>
      <w:suff w:val="tab"/>
      <w:lvlText w:val="7.6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4">
      <w:start w:val="4"/>
      <w:numFmt w:val="decimal"/>
      <w:isLgl w:val="false"/>
      <w:suff w:val="tab"/>
      <w:lvlText w:val="7.6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5">
      <w:start w:val="4"/>
      <w:numFmt w:val="decimal"/>
      <w:isLgl w:val="false"/>
      <w:suff w:val="tab"/>
      <w:lvlText w:val="7.6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6">
      <w:start w:val="4"/>
      <w:numFmt w:val="decimal"/>
      <w:isLgl w:val="false"/>
      <w:suff w:val="tab"/>
      <w:lvlText w:val="7.6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7">
      <w:start w:val="4"/>
      <w:numFmt w:val="decimal"/>
      <w:isLgl w:val="false"/>
      <w:suff w:val="tab"/>
      <w:lvlText w:val="7.6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8">
      <w:start w:val="4"/>
      <w:numFmt w:val="decimal"/>
      <w:isLgl w:val="false"/>
      <w:suff w:val="tab"/>
      <w:lvlText w:val="7.6.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%1)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6.5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decimal"/>
      <w:isLgl w:val="false"/>
      <w:suff w:val="tab"/>
      <w:lvlText w:val="6.5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decimal"/>
      <w:isLgl w:val="false"/>
      <w:suff w:val="tab"/>
      <w:lvlText w:val="6.5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decimal"/>
      <w:isLgl w:val="false"/>
      <w:suff w:val="tab"/>
      <w:lvlText w:val="6.5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6.5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6.5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6.5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6.5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6.5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1">
      <w:start w:val="6"/>
      <w:numFmt w:val="decimal"/>
      <w:isLgl w:val="false"/>
      <w:suff w:val="tab"/>
      <w:lvlText w:val="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2">
      <w:start w:val="6"/>
      <w:numFmt w:val="decimal"/>
      <w:isLgl w:val="false"/>
      <w:suff w:val="tab"/>
      <w:lvlText w:val="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3">
      <w:start w:val="6"/>
      <w:numFmt w:val="decimal"/>
      <w:isLgl w:val="false"/>
      <w:suff w:val="tab"/>
      <w:lvlText w:val="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4">
      <w:start w:val="6"/>
      <w:numFmt w:val="decimal"/>
      <w:isLgl w:val="false"/>
      <w:suff w:val="tab"/>
      <w:lvlText w:val="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5">
      <w:start w:val="6"/>
      <w:numFmt w:val="decimal"/>
      <w:isLgl w:val="false"/>
      <w:suff w:val="tab"/>
      <w:lvlText w:val="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6">
      <w:start w:val="6"/>
      <w:numFmt w:val="decimal"/>
      <w:isLgl w:val="false"/>
      <w:suff w:val="tab"/>
      <w:lvlText w:val="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7">
      <w:start w:val="6"/>
      <w:numFmt w:val="decimal"/>
      <w:isLgl w:val="false"/>
      <w:suff w:val="tab"/>
      <w:lvlText w:val="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8">
      <w:start w:val="6"/>
      <w:numFmt w:val="decimal"/>
      <w:isLgl w:val="false"/>
      <w:suff w:val="tab"/>
      <w:lvlText w:val="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6.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decimal"/>
      <w:isLgl w:val="false"/>
      <w:suff w:val="tab"/>
      <w:lvlText w:val="6.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decimal"/>
      <w:isLgl w:val="false"/>
      <w:suff w:val="tab"/>
      <w:lvlText w:val="6.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decimal"/>
      <w:isLgl w:val="false"/>
      <w:suff w:val="tab"/>
      <w:lvlText w:val="6.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6.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6.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6.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6.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6.6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6.7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decimal"/>
      <w:isLgl w:val="false"/>
      <w:suff w:val="tab"/>
      <w:lvlText w:val="6.7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decimal"/>
      <w:isLgl w:val="false"/>
      <w:suff w:val="tab"/>
      <w:lvlText w:val="6.7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decimal"/>
      <w:isLgl w:val="false"/>
      <w:suff w:val="tab"/>
      <w:lvlText w:val="6.7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6.7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6.7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6.7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6.7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6.7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i/>
        <w:iCs/>
        <w:color w:val="000000"/>
        <w:spacing w:val="0"/>
        <w:position w:val="0"/>
        <w:sz w:val="19"/>
        <w:szCs w:val="19"/>
        <w:u w:val="none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6.8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decimal"/>
      <w:isLgl w:val="false"/>
      <w:suff w:val="tab"/>
      <w:lvlText w:val="6.8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decimal"/>
      <w:isLgl w:val="false"/>
      <w:suff w:val="tab"/>
      <w:lvlText w:val="6.8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decimal"/>
      <w:isLgl w:val="false"/>
      <w:suff w:val="tab"/>
      <w:lvlText w:val="6.8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6.8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6.8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6.8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6.8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6.8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6.9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1">
      <w:start w:val="1"/>
      <w:numFmt w:val="decimal"/>
      <w:isLgl w:val="false"/>
      <w:suff w:val="tab"/>
      <w:lvlText w:val="6.9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2">
      <w:start w:val="1"/>
      <w:numFmt w:val="decimal"/>
      <w:isLgl w:val="false"/>
      <w:suff w:val="tab"/>
      <w:lvlText w:val="6.9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3">
      <w:start w:val="1"/>
      <w:numFmt w:val="decimal"/>
      <w:isLgl w:val="false"/>
      <w:suff w:val="tab"/>
      <w:lvlText w:val="6.9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4">
      <w:start w:val="1"/>
      <w:numFmt w:val="decimal"/>
      <w:isLgl w:val="false"/>
      <w:suff w:val="tab"/>
      <w:lvlText w:val="6.9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5">
      <w:start w:val="1"/>
      <w:numFmt w:val="decimal"/>
      <w:isLgl w:val="false"/>
      <w:suff w:val="tab"/>
      <w:lvlText w:val="6.9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6">
      <w:start w:val="1"/>
      <w:numFmt w:val="decimal"/>
      <w:isLgl w:val="false"/>
      <w:suff w:val="tab"/>
      <w:lvlText w:val="6.9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7">
      <w:start w:val="1"/>
      <w:numFmt w:val="decimal"/>
      <w:isLgl w:val="false"/>
      <w:suff w:val="tab"/>
      <w:lvlText w:val="6.9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  <w:lvl w:ilvl="8">
      <w:start w:val="1"/>
      <w:numFmt w:val="decimal"/>
      <w:isLgl w:val="false"/>
      <w:suff w:val="tab"/>
      <w:lvlText w:val="6.9.%1"/>
      <w:lvlJc w:val="left"/>
      <w:pPr/>
      <w:rPr>
        <w:rFonts w:ascii="Arial" w:hAnsi="Arial" w:cs="Arial"/>
        <w:color w:val="000000"/>
        <w:spacing w:val="0"/>
        <w:position w:val="0"/>
        <w:sz w:val="19"/>
        <w:szCs w:val="19"/>
        <w:u w:val="none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1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2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3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4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5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6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7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8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</w:abstractNum>
  <w:abstractNum w:abstractNumId="18">
    <w:multiLevelType w:val="hybridMultilevel"/>
    <w:lvl w:ilvl="0">
      <w:start w:val="1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1">
      <w:start w:val="1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2">
      <w:start w:val="1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3">
      <w:start w:val="1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4">
      <w:start w:val="1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5">
      <w:start w:val="1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6">
      <w:start w:val="1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7">
      <w:start w:val="1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8">
      <w:start w:val="1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1">
      <w:start w:val="10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2">
      <w:start w:val="10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3">
      <w:start w:val="10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4">
      <w:start w:val="10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5">
      <w:start w:val="10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6">
      <w:start w:val="10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7">
      <w:start w:val="10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8">
      <w:start w:val="10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1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2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3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4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5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6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7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8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1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2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3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4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5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6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7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8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1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2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3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4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5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6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7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8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1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2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3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4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5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6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7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8">
      <w:start w:val="1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</w:abstractNum>
  <w:abstractNum w:abstractNumId="24">
    <w:multiLevelType w:val="hybridMultilevel"/>
    <w:lvl w:ilvl="0">
      <w:start w:val="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1">
      <w:start w:val="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2">
      <w:start w:val="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3">
      <w:start w:val="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4">
      <w:start w:val="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5">
      <w:start w:val="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6">
      <w:start w:val="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7">
      <w:start w:val="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  <w:lvl w:ilvl="8">
      <w:start w:val="2"/>
      <w:numFmt w:val="decimal"/>
      <w:isLgl w:val="false"/>
      <w:suff w:val="tab"/>
      <w:lvlText w:val="%1"/>
      <w:lvlJc w:val="left"/>
      <w:pPr/>
      <w:rPr>
        <w:rFonts w:ascii="Arial" w:hAnsi="Arial" w:cs="Arial"/>
        <w:color w:val="000000"/>
        <w:spacing w:val="-10"/>
        <w:position w:val="0"/>
        <w:sz w:val="17"/>
        <w:szCs w:val="17"/>
        <w:u w:val="none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571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571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8"/>
  </w:num>
  <w:num w:numId="20">
    <w:abstractNumId w:val="17"/>
  </w:num>
  <w:num w:numId="21">
    <w:abstractNumId w:val="18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4"/>
  </w:num>
  <w:num w:numId="28">
    <w:abstractNumId w:val="25"/>
  </w:num>
  <w:num w:numId="29">
    <w:abstractNumId w:val="26"/>
  </w:num>
  <w:num w:numId="30">
    <w:abstractNumId w:val="30"/>
  </w:num>
  <w:num w:numId="31">
    <w:abstractNumId w:val="2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905"/>
    <w:next w:val="905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907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905"/>
    <w:next w:val="905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907"/>
    <w:link w:val="14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907"/>
    <w:link w:val="90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905"/>
    <w:next w:val="905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907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905"/>
    <w:next w:val="905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907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905"/>
    <w:next w:val="905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907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905"/>
    <w:next w:val="905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907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905"/>
    <w:next w:val="905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907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905"/>
    <w:next w:val="905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907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905"/>
    <w:next w:val="905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907"/>
    <w:link w:val="33"/>
    <w:uiPriority w:val="10"/>
    <w:rPr>
      <w:sz w:val="48"/>
      <w:szCs w:val="48"/>
    </w:rPr>
  </w:style>
  <w:style w:type="paragraph" w:styleId="35">
    <w:name w:val="Subtitle"/>
    <w:basedOn w:val="905"/>
    <w:next w:val="905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907"/>
    <w:link w:val="35"/>
    <w:uiPriority w:val="11"/>
    <w:rPr>
      <w:sz w:val="24"/>
      <w:szCs w:val="24"/>
    </w:rPr>
  </w:style>
  <w:style w:type="paragraph" w:styleId="37">
    <w:name w:val="Quote"/>
    <w:basedOn w:val="905"/>
    <w:next w:val="905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905"/>
    <w:next w:val="905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905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907"/>
    <w:link w:val="41"/>
    <w:uiPriority w:val="99"/>
  </w:style>
  <w:style w:type="paragraph" w:styleId="43">
    <w:name w:val="Footer"/>
    <w:basedOn w:val="905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907"/>
    <w:link w:val="43"/>
    <w:uiPriority w:val="99"/>
  </w:style>
  <w:style w:type="paragraph" w:styleId="45">
    <w:name w:val="Caption"/>
    <w:basedOn w:val="905"/>
    <w:next w:val="9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90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9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9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9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9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905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907"/>
    <w:uiPriority w:val="99"/>
    <w:unhideWhenUsed/>
    <w:rPr>
      <w:vertAlign w:val="superscript"/>
    </w:rPr>
  </w:style>
  <w:style w:type="paragraph" w:styleId="177">
    <w:name w:val="endnote text"/>
    <w:basedOn w:val="905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907"/>
    <w:uiPriority w:val="99"/>
    <w:semiHidden/>
    <w:unhideWhenUsed/>
    <w:rPr>
      <w:vertAlign w:val="superscript"/>
    </w:rPr>
  </w:style>
  <w:style w:type="paragraph" w:styleId="180">
    <w:name w:val="toc 1"/>
    <w:basedOn w:val="905"/>
    <w:next w:val="905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905"/>
    <w:next w:val="905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905"/>
    <w:next w:val="905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905"/>
    <w:next w:val="905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905"/>
    <w:next w:val="905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905"/>
    <w:next w:val="905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905"/>
    <w:next w:val="905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905"/>
    <w:next w:val="905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905"/>
    <w:next w:val="905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905"/>
    <w:next w:val="905"/>
    <w:uiPriority w:val="99"/>
    <w:unhideWhenUsed/>
    <w:pPr>
      <w:spacing w:after="0" w:afterAutospacing="0"/>
    </w:pPr>
  </w:style>
  <w:style w:type="paragraph" w:styleId="905" w:default="1">
    <w:name w:val="Normal"/>
    <w:qFormat/>
  </w:style>
  <w:style w:type="paragraph" w:styleId="906">
    <w:name w:val="Heading 3"/>
    <w:basedOn w:val="905"/>
    <w:link w:val="91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907" w:default="1">
    <w:name w:val="Default Paragraph Font"/>
    <w:uiPriority w:val="1"/>
    <w:semiHidden/>
    <w:unhideWhenUsed/>
  </w:style>
  <w:style w:type="table" w:styleId="90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09" w:default="1">
    <w:name w:val="No List"/>
    <w:uiPriority w:val="99"/>
    <w:semiHidden/>
    <w:unhideWhenUsed/>
  </w:style>
  <w:style w:type="character" w:styleId="910" w:customStyle="1">
    <w:name w:val="Заголовок 3 Знак"/>
    <w:basedOn w:val="907"/>
    <w:link w:val="906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911" w:customStyle="1">
    <w:name w:val="pcenter"/>
    <w:basedOn w:val="90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2" w:customStyle="1">
    <w:name w:val="pboth"/>
    <w:basedOn w:val="90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13">
    <w:name w:val="Hyperlink"/>
    <w:basedOn w:val="907"/>
    <w:uiPriority w:val="99"/>
    <w:semiHidden/>
    <w:unhideWhenUsed/>
    <w:rPr>
      <w:color w:val="0000ff"/>
      <w:u w:val="single"/>
    </w:rPr>
  </w:style>
  <w:style w:type="character" w:styleId="914" w:customStyle="1">
    <w:name w:val="Основной текст (3) Exact"/>
    <w:basedOn w:val="907"/>
    <w:uiPriority w:val="99"/>
    <w:rPr>
      <w:rFonts w:ascii="Arial" w:hAnsi="Arial" w:cs="Arial"/>
      <w:sz w:val="38"/>
      <w:szCs w:val="38"/>
      <w:u w:val="none"/>
    </w:rPr>
  </w:style>
  <w:style w:type="character" w:styleId="915" w:customStyle="1">
    <w:name w:val="Подпись к картинке Exact"/>
    <w:basedOn w:val="907"/>
    <w:link w:val="920"/>
    <w:uiPriority w:val="99"/>
    <w:rPr>
      <w:rFonts w:ascii="Arial" w:hAnsi="Arial" w:cs="Arial"/>
      <w:spacing w:val="-10"/>
      <w:sz w:val="17"/>
      <w:szCs w:val="17"/>
      <w:shd w:val="clear" w:color="auto" w:fill="ffffff"/>
    </w:rPr>
  </w:style>
  <w:style w:type="character" w:styleId="916" w:customStyle="1">
    <w:name w:val="Колонтитул_"/>
    <w:basedOn w:val="907"/>
    <w:link w:val="921"/>
    <w:uiPriority w:val="99"/>
    <w:rPr>
      <w:rFonts w:ascii="Arial" w:hAnsi="Arial" w:cs="Arial"/>
      <w:sz w:val="19"/>
      <w:szCs w:val="19"/>
      <w:shd w:val="clear" w:color="auto" w:fill="ffffff"/>
    </w:rPr>
  </w:style>
  <w:style w:type="character" w:styleId="917" w:customStyle="1">
    <w:name w:val="Колонтитул"/>
    <w:basedOn w:val="916"/>
    <w:uiPriority w:val="99"/>
  </w:style>
  <w:style w:type="character" w:styleId="918" w:customStyle="1">
    <w:name w:val="Колонтитул + 8"/>
    <w:basedOn w:val="916"/>
    <w:uiPriority w:val="99"/>
    <w:rPr>
      <w:b/>
      <w:bCs/>
      <w:sz w:val="17"/>
      <w:szCs w:val="17"/>
    </w:rPr>
  </w:style>
  <w:style w:type="character" w:styleId="919" w:customStyle="1">
    <w:name w:val="Подпись к картинке (3) Exact"/>
    <w:basedOn w:val="907"/>
    <w:link w:val="922"/>
    <w:uiPriority w:val="99"/>
    <w:rPr>
      <w:rFonts w:ascii="Arial" w:hAnsi="Arial" w:cs="Arial"/>
      <w:sz w:val="19"/>
      <w:szCs w:val="19"/>
      <w:shd w:val="clear" w:color="auto" w:fill="ffffff"/>
    </w:rPr>
  </w:style>
  <w:style w:type="paragraph" w:styleId="920" w:customStyle="1">
    <w:name w:val="Подпись к картинке"/>
    <w:basedOn w:val="905"/>
    <w:link w:val="915"/>
    <w:uiPriority w:val="99"/>
    <w:pPr>
      <w:ind w:hanging="180"/>
      <w:jc w:val="center"/>
      <w:spacing w:after="0" w:line="198" w:lineRule="exact"/>
      <w:shd w:val="clear" w:color="auto" w:fill="ffffff"/>
      <w:widowControl w:val="off"/>
    </w:pPr>
    <w:rPr>
      <w:rFonts w:ascii="Arial" w:hAnsi="Arial" w:cs="Arial"/>
      <w:spacing w:val="-10"/>
      <w:sz w:val="17"/>
      <w:szCs w:val="17"/>
    </w:rPr>
  </w:style>
  <w:style w:type="paragraph" w:styleId="921" w:customStyle="1">
    <w:name w:val="Колонтитул1"/>
    <w:basedOn w:val="905"/>
    <w:link w:val="916"/>
    <w:uiPriority w:val="99"/>
    <w:pPr>
      <w:spacing w:after="0" w:line="240" w:lineRule="atLeast"/>
      <w:shd w:val="clear" w:color="auto" w:fill="ffffff"/>
      <w:widowControl w:val="off"/>
    </w:pPr>
    <w:rPr>
      <w:rFonts w:ascii="Arial" w:hAnsi="Arial" w:cs="Arial"/>
      <w:sz w:val="19"/>
      <w:szCs w:val="19"/>
    </w:rPr>
  </w:style>
  <w:style w:type="paragraph" w:styleId="922" w:customStyle="1">
    <w:name w:val="Подпись к картинке (3)"/>
    <w:basedOn w:val="905"/>
    <w:link w:val="919"/>
    <w:uiPriority w:val="99"/>
    <w:pPr>
      <w:jc w:val="center"/>
      <w:spacing w:after="0" w:line="240" w:lineRule="atLeast"/>
      <w:shd w:val="clear" w:color="auto" w:fill="ffffff"/>
      <w:widowControl w:val="off"/>
    </w:pPr>
    <w:rPr>
      <w:rFonts w:ascii="Arial" w:hAnsi="Arial" w:cs="Arial"/>
      <w:sz w:val="19"/>
      <w:szCs w:val="19"/>
    </w:rPr>
  </w:style>
  <w:style w:type="paragraph" w:styleId="923">
    <w:name w:val="Balloon Text"/>
    <w:basedOn w:val="905"/>
    <w:link w:val="92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24" w:customStyle="1">
    <w:name w:val="Текст выноски Знак"/>
    <w:basedOn w:val="907"/>
    <w:link w:val="923"/>
    <w:uiPriority w:val="99"/>
    <w:semiHidden/>
    <w:rPr>
      <w:rFonts w:ascii="Tahoma" w:hAnsi="Tahoma" w:cs="Tahoma"/>
      <w:sz w:val="16"/>
      <w:szCs w:val="16"/>
    </w:rPr>
  </w:style>
  <w:style w:type="character" w:styleId="925" w:customStyle="1">
    <w:name w:val="Основной текст (2)_"/>
    <w:basedOn w:val="907"/>
    <w:link w:val="926"/>
    <w:uiPriority w:val="99"/>
    <w:rPr>
      <w:rFonts w:ascii="Arial" w:hAnsi="Arial" w:cs="Arial"/>
      <w:sz w:val="19"/>
      <w:szCs w:val="19"/>
      <w:shd w:val="clear" w:color="auto" w:fill="ffffff"/>
    </w:rPr>
  </w:style>
  <w:style w:type="paragraph" w:styleId="926" w:customStyle="1">
    <w:name w:val="Основной текст (2)1"/>
    <w:basedOn w:val="905"/>
    <w:link w:val="925"/>
    <w:uiPriority w:val="99"/>
    <w:pPr>
      <w:jc w:val="right"/>
      <w:spacing w:after="60" w:line="240" w:lineRule="atLeast"/>
      <w:shd w:val="clear" w:color="auto" w:fill="ffffff"/>
      <w:widowControl w:val="off"/>
    </w:pPr>
    <w:rPr>
      <w:rFonts w:ascii="Arial" w:hAnsi="Arial" w:cs="Arial"/>
      <w:sz w:val="19"/>
      <w:szCs w:val="19"/>
    </w:rPr>
  </w:style>
  <w:style w:type="paragraph" w:styleId="927">
    <w:name w:val="List Paragraph"/>
    <w:basedOn w:val="90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hyperlink" Target="https://legalacts.ru/doc/273_FZ-ob-obrazovanii/glava-6/statja-59/" TargetMode="External"/><Relationship Id="rId15" Type="http://schemas.openxmlformats.org/officeDocument/2006/relationships/hyperlink" Target="https://legalacts.ru/doc/prikaz-minobrnauki-rossii-ot-16082013-n-968/" TargetMode="External"/><Relationship Id="rId16" Type="http://schemas.openxmlformats.org/officeDocument/2006/relationships/hyperlink" Target="https://legalacts.ru/doc/prikaz-minobrnauki-rossii-ot-14062013-n-464/" TargetMode="External"/><Relationship Id="rId17" Type="http://schemas.openxmlformats.org/officeDocument/2006/relationships/hyperlink" Target="https://legalacts.ru/doc/gost-732-2001-mezhgosudarstvennyi-standart-sistema-standartov-po/" TargetMode="External"/><Relationship Id="rId18" Type="http://schemas.openxmlformats.org/officeDocument/2006/relationships/hyperlink" Target="https://legalacts.ru/doc/metodicheskie-rekomendatsii-po-organizatsii-vypolnenija-i-zashchity-vypusknoi-kvalifikatsionnoi/" TargetMode="External"/><Relationship Id="rId19" Type="http://schemas.openxmlformats.org/officeDocument/2006/relationships/hyperlink" Target="https://legalacts.ru/doc/prikaz-minobrnauki-rossii-ot-16082013-n-968/" TargetMode="External"/><Relationship Id="rId20" Type="http://schemas.openxmlformats.org/officeDocument/2006/relationships/hyperlink" Target="https://legalacts.ru/doc/metodicheskie-rekomendatsii-po-organizatsii-vypolnenija-i-zashchity-vypusknoi-kvalifikatsionnoi/" TargetMode="External"/><Relationship Id="rId21" Type="http://schemas.openxmlformats.org/officeDocument/2006/relationships/hyperlink" Target="file:///C:\Users\adf\Desktop\Downloads\3840.htm" TargetMode="External"/><Relationship Id="rId22" Type="http://schemas.openxmlformats.org/officeDocument/2006/relationships/image" Target="media/image1.jpg"/><Relationship Id="rId23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SedinaSA</dc:creator>
  <cp:lastModifiedBy>Светлана Съедина</cp:lastModifiedBy>
  <cp:revision>3</cp:revision>
  <dcterms:created xsi:type="dcterms:W3CDTF">2021-03-30T10:16:00Z</dcterms:created>
  <dcterms:modified xsi:type="dcterms:W3CDTF">2023-03-03T12:35:54Z</dcterms:modified>
</cp:coreProperties>
</file>